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6DE" w:rsidRPr="00B843A0" w:rsidRDefault="002666DE" w:rsidP="00B843A0">
      <w:pPr>
        <w:spacing w:after="0" w:line="240" w:lineRule="auto"/>
        <w:jc w:val="center"/>
        <w:rPr>
          <w:sz w:val="32"/>
        </w:rPr>
      </w:pPr>
      <w:r w:rsidRPr="00B843A0">
        <w:rPr>
          <w:sz w:val="32"/>
        </w:rPr>
        <w:t>OFICIO N° 046828 24-07-2012 DIAN</w:t>
      </w:r>
    </w:p>
    <w:p w:rsidR="002666DE" w:rsidRPr="00B843A0" w:rsidRDefault="002666DE" w:rsidP="00B843A0">
      <w:pPr>
        <w:spacing w:after="0" w:line="240" w:lineRule="auto"/>
        <w:jc w:val="center"/>
        <w:rPr>
          <w:sz w:val="32"/>
        </w:rPr>
      </w:pPr>
      <w:r w:rsidRPr="00B843A0">
        <w:rPr>
          <w:sz w:val="32"/>
        </w:rPr>
        <w:t>Bogotá, D.C.</w:t>
      </w:r>
    </w:p>
    <w:p w:rsidR="002666DE" w:rsidRPr="00B843A0" w:rsidRDefault="002666DE" w:rsidP="00B843A0">
      <w:pPr>
        <w:spacing w:after="0" w:line="240" w:lineRule="auto"/>
        <w:jc w:val="center"/>
        <w:rPr>
          <w:sz w:val="32"/>
        </w:rPr>
      </w:pPr>
      <w:r w:rsidRPr="00B843A0">
        <w:rPr>
          <w:sz w:val="32"/>
        </w:rPr>
        <w:t>100208221 441</w:t>
      </w:r>
    </w:p>
    <w:p w:rsidR="002666DE" w:rsidRDefault="002666DE" w:rsidP="002666DE">
      <w:pPr>
        <w:spacing w:after="0" w:line="240" w:lineRule="auto"/>
      </w:pPr>
    </w:p>
    <w:p w:rsidR="002666DE" w:rsidRDefault="002666DE" w:rsidP="002666DE">
      <w:pPr>
        <w:spacing w:after="0" w:line="240" w:lineRule="auto"/>
      </w:pPr>
      <w:r>
        <w:t xml:space="preserve"> </w:t>
      </w:r>
    </w:p>
    <w:p w:rsidR="002666DE" w:rsidRDefault="002666DE" w:rsidP="002666DE">
      <w:pPr>
        <w:spacing w:after="0" w:line="240" w:lineRule="auto"/>
      </w:pPr>
    </w:p>
    <w:p w:rsidR="002666DE" w:rsidRPr="00B843A0" w:rsidRDefault="002666DE" w:rsidP="002666DE">
      <w:pPr>
        <w:spacing w:after="0" w:line="240" w:lineRule="auto"/>
        <w:rPr>
          <w:rFonts w:ascii="Century Gothic" w:hAnsi="Century Gothic"/>
        </w:rPr>
      </w:pPr>
      <w:r w:rsidRPr="00B843A0">
        <w:rPr>
          <w:rFonts w:ascii="Century Gothic" w:hAnsi="Century Gothic"/>
        </w:rPr>
        <w:t>Señora</w:t>
      </w:r>
    </w:p>
    <w:p w:rsidR="002666DE" w:rsidRPr="00B843A0" w:rsidRDefault="002666DE" w:rsidP="002666DE">
      <w:pPr>
        <w:spacing w:after="0" w:line="240" w:lineRule="auto"/>
        <w:rPr>
          <w:rFonts w:ascii="Century Gothic" w:hAnsi="Century Gothic"/>
          <w:b/>
        </w:rPr>
      </w:pPr>
      <w:r w:rsidRPr="00B843A0">
        <w:rPr>
          <w:rFonts w:ascii="Century Gothic" w:hAnsi="Century Gothic"/>
          <w:b/>
        </w:rPr>
        <w:t>DIVA LILIANA GUZMÁN</w:t>
      </w:r>
      <w:bookmarkStart w:id="0" w:name="_GoBack"/>
      <w:bookmarkEnd w:id="0"/>
    </w:p>
    <w:p w:rsidR="002666DE" w:rsidRPr="00B843A0" w:rsidRDefault="002666DE" w:rsidP="002666DE">
      <w:pPr>
        <w:spacing w:after="0" w:line="240" w:lineRule="auto"/>
        <w:rPr>
          <w:rFonts w:ascii="Century Gothic" w:hAnsi="Century Gothic"/>
        </w:rPr>
      </w:pPr>
      <w:r w:rsidRPr="00B843A0">
        <w:rPr>
          <w:rFonts w:ascii="Century Gothic" w:hAnsi="Century Gothic"/>
        </w:rPr>
        <w:t>Carrera 78 i No. 56A-75 SUR</w:t>
      </w:r>
    </w:p>
    <w:p w:rsidR="002666DE" w:rsidRPr="00B843A0" w:rsidRDefault="002666DE" w:rsidP="002666DE">
      <w:pPr>
        <w:spacing w:after="0" w:line="240" w:lineRule="auto"/>
        <w:rPr>
          <w:rFonts w:ascii="Century Gothic" w:hAnsi="Century Gothic"/>
        </w:rPr>
      </w:pPr>
      <w:r w:rsidRPr="00B843A0">
        <w:rPr>
          <w:rFonts w:ascii="Century Gothic" w:hAnsi="Century Gothic"/>
        </w:rPr>
        <w:t xml:space="preserve">Bogotá D.C. </w:t>
      </w:r>
    </w:p>
    <w:p w:rsidR="002666DE" w:rsidRPr="00B843A0" w:rsidRDefault="002666DE" w:rsidP="002666DE">
      <w:pPr>
        <w:spacing w:after="0" w:line="240" w:lineRule="auto"/>
        <w:rPr>
          <w:rFonts w:ascii="Century Gothic" w:hAnsi="Century Gothic"/>
        </w:rPr>
      </w:pPr>
    </w:p>
    <w:p w:rsidR="002666DE" w:rsidRPr="00B843A0" w:rsidRDefault="002666DE" w:rsidP="002666DE">
      <w:pPr>
        <w:spacing w:after="0" w:line="240" w:lineRule="auto"/>
        <w:rPr>
          <w:rFonts w:ascii="Century Gothic" w:hAnsi="Century Gothic"/>
        </w:rPr>
      </w:pPr>
      <w:proofErr w:type="spellStart"/>
      <w:r w:rsidRPr="00B843A0">
        <w:rPr>
          <w:rFonts w:ascii="Century Gothic" w:hAnsi="Century Gothic"/>
        </w:rPr>
        <w:t>Ref</w:t>
      </w:r>
      <w:proofErr w:type="spellEnd"/>
      <w:r w:rsidRPr="00B843A0">
        <w:rPr>
          <w:rFonts w:ascii="Century Gothic" w:hAnsi="Century Gothic"/>
        </w:rPr>
        <w:t>: Radicado 0574 del 25/06/2012</w:t>
      </w:r>
    </w:p>
    <w:p w:rsidR="002666DE" w:rsidRPr="00B843A0" w:rsidRDefault="002666DE" w:rsidP="002666DE">
      <w:pPr>
        <w:spacing w:after="0" w:line="240" w:lineRule="auto"/>
        <w:rPr>
          <w:rFonts w:ascii="Century Gothic" w:hAnsi="Century Gothic"/>
        </w:rPr>
      </w:pPr>
    </w:p>
    <w:p w:rsidR="002666DE" w:rsidRPr="00B843A0" w:rsidRDefault="002666DE" w:rsidP="002666DE">
      <w:pPr>
        <w:spacing w:after="0" w:line="240" w:lineRule="auto"/>
        <w:rPr>
          <w:rFonts w:ascii="Century Gothic" w:hAnsi="Century Gothic"/>
        </w:rPr>
      </w:pPr>
      <w:r w:rsidRPr="00B843A0">
        <w:rPr>
          <w:rFonts w:ascii="Century Gothic" w:hAnsi="Century Gothic"/>
        </w:rPr>
        <w:t xml:space="preserve"> </w:t>
      </w:r>
    </w:p>
    <w:p w:rsidR="002666DE" w:rsidRPr="00B843A0" w:rsidRDefault="002666DE" w:rsidP="002666DE">
      <w:pPr>
        <w:spacing w:after="0" w:line="240" w:lineRule="auto"/>
        <w:rPr>
          <w:rFonts w:ascii="Century Gothic" w:hAnsi="Century Gothic"/>
        </w:rPr>
      </w:pPr>
    </w:p>
    <w:p w:rsidR="002666DE" w:rsidRPr="00B843A0" w:rsidRDefault="002666DE" w:rsidP="002666DE">
      <w:pPr>
        <w:spacing w:after="0" w:line="240" w:lineRule="auto"/>
        <w:jc w:val="both"/>
        <w:rPr>
          <w:rFonts w:ascii="Century Gothic" w:hAnsi="Century Gothic"/>
        </w:rPr>
      </w:pPr>
      <w:r w:rsidRPr="00B843A0">
        <w:rPr>
          <w:rFonts w:ascii="Century Gothic" w:hAnsi="Century Gothic"/>
        </w:rPr>
        <w:t>Tema:                           Procedimiento Tributario</w:t>
      </w:r>
    </w:p>
    <w:p w:rsidR="002666DE" w:rsidRPr="00B843A0" w:rsidRDefault="002666DE" w:rsidP="002666DE">
      <w:pPr>
        <w:spacing w:after="0" w:line="240" w:lineRule="auto"/>
        <w:jc w:val="both"/>
        <w:rPr>
          <w:rFonts w:ascii="Century Gothic" w:hAnsi="Century Gothic"/>
        </w:rPr>
      </w:pPr>
      <w:r w:rsidRPr="00B843A0">
        <w:rPr>
          <w:rFonts w:ascii="Century Gothic" w:hAnsi="Century Gothic"/>
        </w:rPr>
        <w:t>Descriptores:               Obligados a Diligenciar Formato 1732</w:t>
      </w:r>
    </w:p>
    <w:p w:rsidR="002666DE" w:rsidRPr="00B843A0" w:rsidRDefault="002666DE" w:rsidP="002666DE">
      <w:pPr>
        <w:spacing w:after="0" w:line="240" w:lineRule="auto"/>
        <w:jc w:val="both"/>
        <w:rPr>
          <w:rFonts w:ascii="Century Gothic" w:hAnsi="Century Gothic"/>
        </w:rPr>
      </w:pPr>
      <w:r w:rsidRPr="00B843A0">
        <w:rPr>
          <w:rFonts w:ascii="Century Gothic" w:hAnsi="Century Gothic"/>
        </w:rPr>
        <w:t xml:space="preserve">Fuentes Formales:      Artículos 1, 2 y 3 Resolución 000017 de 2012. </w:t>
      </w:r>
    </w:p>
    <w:p w:rsidR="002666DE" w:rsidRPr="00B843A0" w:rsidRDefault="002666DE" w:rsidP="002666DE">
      <w:pPr>
        <w:spacing w:after="0" w:line="240" w:lineRule="auto"/>
        <w:jc w:val="both"/>
        <w:rPr>
          <w:rFonts w:ascii="Century Gothic" w:hAnsi="Century Gothic"/>
        </w:rPr>
      </w:pPr>
    </w:p>
    <w:p w:rsidR="002666DE" w:rsidRPr="00B843A0" w:rsidRDefault="002666DE" w:rsidP="002666DE">
      <w:pPr>
        <w:spacing w:after="0" w:line="240" w:lineRule="auto"/>
        <w:jc w:val="both"/>
        <w:rPr>
          <w:rFonts w:ascii="Century Gothic" w:hAnsi="Century Gothic"/>
        </w:rPr>
      </w:pPr>
      <w:r w:rsidRPr="00B843A0">
        <w:rPr>
          <w:rFonts w:ascii="Century Gothic" w:hAnsi="Century Gothic"/>
        </w:rPr>
        <w:t xml:space="preserve">De conformidad con el artículo 20 del Decreto 4048 de 2008, y la Orden Administrativa 000006 de 2009, es función de esta Subdirección absolver de modo general las consultas escritas que se formulen sobre la interpretación y aplicación de las normas tributarias de carácter nacional, aduaneras y cambiarias en lo de competencia de la entidad. </w:t>
      </w:r>
    </w:p>
    <w:p w:rsidR="002666DE" w:rsidRPr="00B843A0" w:rsidRDefault="002666DE" w:rsidP="002666DE">
      <w:pPr>
        <w:spacing w:after="0" w:line="240" w:lineRule="auto"/>
        <w:jc w:val="both"/>
        <w:rPr>
          <w:rFonts w:ascii="Century Gothic" w:hAnsi="Century Gothic"/>
        </w:rPr>
      </w:pPr>
    </w:p>
    <w:p w:rsidR="002666DE" w:rsidRPr="00B843A0" w:rsidRDefault="002666DE" w:rsidP="002666DE">
      <w:pPr>
        <w:spacing w:after="0" w:line="240" w:lineRule="auto"/>
        <w:jc w:val="both"/>
        <w:rPr>
          <w:rFonts w:ascii="Century Gothic" w:hAnsi="Century Gothic"/>
        </w:rPr>
      </w:pPr>
      <w:r w:rsidRPr="00B843A0">
        <w:rPr>
          <w:rFonts w:ascii="Century Gothic" w:hAnsi="Century Gothic"/>
        </w:rPr>
        <w:t xml:space="preserve">Solicita en su escrito se precise si las personas naturales con patrimonio superior a tres mil millones de pesos ($3.000.000.oo) (sic), no obligadas a llevar contabilidad y declarante del impuesto de renta, deben diligenciar y presentar el formato No. 1732 – Especificaciones para el suministro de la información con relevancia tributaria para el año gravable 2011 (Anexo 2 de la Resolución 000017 de 2012).- </w:t>
      </w:r>
    </w:p>
    <w:p w:rsidR="002666DE" w:rsidRPr="00B843A0" w:rsidRDefault="002666DE" w:rsidP="002666DE">
      <w:pPr>
        <w:spacing w:after="0" w:line="240" w:lineRule="auto"/>
        <w:jc w:val="both"/>
        <w:rPr>
          <w:rFonts w:ascii="Century Gothic" w:hAnsi="Century Gothic"/>
        </w:rPr>
      </w:pPr>
    </w:p>
    <w:p w:rsidR="002666DE" w:rsidRPr="00B843A0" w:rsidRDefault="002666DE" w:rsidP="002666DE">
      <w:pPr>
        <w:spacing w:after="0" w:line="240" w:lineRule="auto"/>
        <w:jc w:val="both"/>
        <w:rPr>
          <w:rFonts w:ascii="Century Gothic" w:hAnsi="Century Gothic"/>
        </w:rPr>
      </w:pPr>
      <w:r w:rsidRPr="00B843A0">
        <w:rPr>
          <w:rFonts w:ascii="Century Gothic" w:hAnsi="Century Gothic"/>
        </w:rPr>
        <w:t xml:space="preserve">La prescripción del formulario 110, consagrada en el artículo 1 de la Resolución 000017 de 2012, es para la presentación de la declaración de renta y complementarios o de ingresos y patrimonio para Personas Jurídicas y Asimiladas, Personas Naturales y Asimiladas Obligadas a llevar Contabilidad, correspondiente al año gravable 2011 o fracción del año gravable 2012. </w:t>
      </w:r>
    </w:p>
    <w:p w:rsidR="002666DE" w:rsidRPr="00B843A0" w:rsidRDefault="002666DE" w:rsidP="002666DE">
      <w:pPr>
        <w:spacing w:after="0" w:line="240" w:lineRule="auto"/>
        <w:jc w:val="both"/>
        <w:rPr>
          <w:rFonts w:ascii="Century Gothic" w:hAnsi="Century Gothic"/>
        </w:rPr>
      </w:pPr>
    </w:p>
    <w:p w:rsidR="002666DE" w:rsidRPr="00B843A0" w:rsidRDefault="002666DE" w:rsidP="002666DE">
      <w:pPr>
        <w:spacing w:after="0" w:line="240" w:lineRule="auto"/>
        <w:jc w:val="both"/>
        <w:rPr>
          <w:rFonts w:ascii="Century Gothic" w:hAnsi="Century Gothic"/>
        </w:rPr>
      </w:pPr>
      <w:r w:rsidRPr="00B843A0">
        <w:rPr>
          <w:rFonts w:ascii="Century Gothic" w:hAnsi="Century Gothic"/>
        </w:rPr>
        <w:t>Por su parte el artículo 3 ibídem, establece parámetros para algunas personas que deberán presentar información con relevancia tributaria correspondiente al año gravable 2011, para efectos de control tributario, teniendo en cuenta el formato No. 1732 y las especificaciones del anexo 2; señalando entre otras, a aquellos obligados a presentar declaración del impuesto sobre la renta y complementarios del año gravable 2010 que en la declaración inicial o en la última corrección presentada en el año 2011, hubieren declarado ingresos brutos y/o patrimonio bruto superior a tres mil millones de pesos ($3.000.000.000).</w:t>
      </w:r>
    </w:p>
    <w:p w:rsidR="002666DE" w:rsidRPr="00B843A0" w:rsidRDefault="002666DE" w:rsidP="002666DE">
      <w:pPr>
        <w:spacing w:after="0" w:line="240" w:lineRule="auto"/>
        <w:jc w:val="both"/>
        <w:rPr>
          <w:rFonts w:ascii="Century Gothic" w:hAnsi="Century Gothic"/>
        </w:rPr>
      </w:pPr>
    </w:p>
    <w:p w:rsidR="002666DE" w:rsidRPr="00B843A0" w:rsidRDefault="002666DE" w:rsidP="002666DE">
      <w:pPr>
        <w:spacing w:after="0" w:line="240" w:lineRule="auto"/>
        <w:jc w:val="both"/>
        <w:rPr>
          <w:rFonts w:ascii="Century Gothic" w:hAnsi="Century Gothic"/>
        </w:rPr>
      </w:pPr>
      <w:r w:rsidRPr="00B843A0">
        <w:rPr>
          <w:rFonts w:ascii="Century Gothic" w:hAnsi="Century Gothic"/>
        </w:rPr>
        <w:lastRenderedPageBreak/>
        <w:t xml:space="preserve"> </w:t>
      </w:r>
    </w:p>
    <w:p w:rsidR="002666DE" w:rsidRPr="00B843A0" w:rsidRDefault="002666DE" w:rsidP="002666DE">
      <w:pPr>
        <w:spacing w:after="0" w:line="240" w:lineRule="auto"/>
        <w:jc w:val="both"/>
        <w:rPr>
          <w:rFonts w:ascii="Century Gothic" w:hAnsi="Century Gothic"/>
        </w:rPr>
      </w:pPr>
    </w:p>
    <w:p w:rsidR="002666DE" w:rsidRPr="00B843A0" w:rsidRDefault="002666DE" w:rsidP="002666DE">
      <w:pPr>
        <w:spacing w:after="0" w:line="240" w:lineRule="auto"/>
        <w:jc w:val="both"/>
        <w:rPr>
          <w:rFonts w:ascii="Century Gothic" w:hAnsi="Century Gothic"/>
        </w:rPr>
      </w:pPr>
      <w:r w:rsidRPr="00B843A0">
        <w:rPr>
          <w:rFonts w:ascii="Century Gothic" w:hAnsi="Century Gothic"/>
        </w:rPr>
        <w:t xml:space="preserve">De lo anterior, se concluye que las personas naturales con patrimonio superior a tres mil millones de pesos ($3.000.000.oo) (sic), no obligadas a llevar contabilidad y declarantes del impuesto de renta, deben diligenciar y presentar el formato No. 1732. </w:t>
      </w:r>
    </w:p>
    <w:p w:rsidR="002666DE" w:rsidRPr="00B843A0" w:rsidRDefault="002666DE" w:rsidP="002666DE">
      <w:pPr>
        <w:spacing w:after="0" w:line="240" w:lineRule="auto"/>
        <w:jc w:val="both"/>
        <w:rPr>
          <w:rFonts w:ascii="Century Gothic" w:hAnsi="Century Gothic"/>
        </w:rPr>
      </w:pPr>
    </w:p>
    <w:p w:rsidR="002666DE" w:rsidRPr="00B843A0" w:rsidRDefault="002666DE" w:rsidP="002666DE">
      <w:pPr>
        <w:spacing w:after="0" w:line="240" w:lineRule="auto"/>
        <w:jc w:val="both"/>
        <w:rPr>
          <w:rFonts w:ascii="Century Gothic" w:hAnsi="Century Gothic"/>
        </w:rPr>
      </w:pPr>
      <w:r w:rsidRPr="00B843A0">
        <w:rPr>
          <w:rFonts w:ascii="Century Gothic" w:hAnsi="Century Gothic"/>
        </w:rPr>
        <w:t>Finalmente, le informamos que puede consultar la base de conceptos expedidos por la Dirección de Impuestos y Aduanas Nacionales, en su página de INTERNET, www.dian.gov</w:t>
      </w:r>
      <w:proofErr w:type="gramStart"/>
      <w:r w:rsidRPr="00B843A0">
        <w:rPr>
          <w:rFonts w:ascii="Century Gothic" w:hAnsi="Century Gothic"/>
        </w:rPr>
        <w:t>.&lt;</w:t>
      </w:r>
      <w:proofErr w:type="gramEnd"/>
      <w:r w:rsidRPr="00B843A0">
        <w:rPr>
          <w:rFonts w:ascii="Century Gothic" w:hAnsi="Century Gothic"/>
        </w:rPr>
        <w:t>http.//.dian.gov.co&gt;, ingresando por el ícono de “Normatividad” – “técnica”, dando clic en el link “Doctrina Oficina Jurídica.</w:t>
      </w:r>
    </w:p>
    <w:p w:rsidR="002666DE" w:rsidRPr="00B843A0" w:rsidRDefault="002666DE" w:rsidP="002666DE">
      <w:pPr>
        <w:spacing w:after="0" w:line="240" w:lineRule="auto"/>
        <w:jc w:val="both"/>
        <w:rPr>
          <w:rFonts w:ascii="Century Gothic" w:hAnsi="Century Gothic"/>
        </w:rPr>
      </w:pPr>
    </w:p>
    <w:p w:rsidR="002666DE" w:rsidRPr="00B843A0" w:rsidRDefault="002666DE" w:rsidP="002666DE">
      <w:pPr>
        <w:spacing w:after="0" w:line="240" w:lineRule="auto"/>
        <w:jc w:val="both"/>
        <w:rPr>
          <w:rFonts w:ascii="Century Gothic" w:hAnsi="Century Gothic"/>
        </w:rPr>
      </w:pPr>
      <w:r w:rsidRPr="00B843A0">
        <w:rPr>
          <w:rFonts w:ascii="Century Gothic" w:hAnsi="Century Gothic"/>
        </w:rPr>
        <w:t xml:space="preserve"> </w:t>
      </w:r>
    </w:p>
    <w:p w:rsidR="002666DE" w:rsidRPr="00B843A0" w:rsidRDefault="002666DE" w:rsidP="002666DE">
      <w:pPr>
        <w:spacing w:after="0" w:line="240" w:lineRule="auto"/>
        <w:jc w:val="both"/>
        <w:rPr>
          <w:rFonts w:ascii="Century Gothic" w:hAnsi="Century Gothic"/>
        </w:rPr>
      </w:pPr>
    </w:p>
    <w:p w:rsidR="002666DE" w:rsidRPr="00B843A0" w:rsidRDefault="002666DE" w:rsidP="002666DE">
      <w:pPr>
        <w:spacing w:after="0" w:line="240" w:lineRule="auto"/>
        <w:jc w:val="both"/>
        <w:rPr>
          <w:rFonts w:ascii="Century Gothic" w:hAnsi="Century Gothic"/>
        </w:rPr>
      </w:pPr>
      <w:r w:rsidRPr="00B843A0">
        <w:rPr>
          <w:rFonts w:ascii="Century Gothic" w:hAnsi="Century Gothic"/>
        </w:rPr>
        <w:t>Cordialmente,</w:t>
      </w:r>
    </w:p>
    <w:p w:rsidR="002666DE" w:rsidRPr="00B843A0" w:rsidRDefault="002666DE" w:rsidP="002666DE">
      <w:pPr>
        <w:spacing w:after="0" w:line="240" w:lineRule="auto"/>
        <w:jc w:val="both"/>
        <w:rPr>
          <w:rFonts w:ascii="Century Gothic" w:hAnsi="Century Gothic"/>
        </w:rPr>
      </w:pPr>
    </w:p>
    <w:p w:rsidR="002666DE" w:rsidRPr="00B843A0" w:rsidRDefault="002666DE" w:rsidP="002666DE">
      <w:pPr>
        <w:spacing w:after="0" w:line="240" w:lineRule="auto"/>
        <w:jc w:val="both"/>
        <w:rPr>
          <w:rFonts w:ascii="Century Gothic" w:hAnsi="Century Gothic"/>
        </w:rPr>
      </w:pPr>
      <w:r w:rsidRPr="00B843A0">
        <w:rPr>
          <w:rFonts w:ascii="Century Gothic" w:hAnsi="Century Gothic"/>
        </w:rPr>
        <w:t xml:space="preserve"> </w:t>
      </w:r>
    </w:p>
    <w:p w:rsidR="002666DE" w:rsidRPr="00B843A0" w:rsidRDefault="002666DE" w:rsidP="002666DE">
      <w:pPr>
        <w:spacing w:after="0" w:line="240" w:lineRule="auto"/>
        <w:jc w:val="both"/>
        <w:rPr>
          <w:rFonts w:ascii="Century Gothic" w:hAnsi="Century Gothic"/>
        </w:rPr>
      </w:pPr>
    </w:p>
    <w:p w:rsidR="002666DE" w:rsidRPr="00B843A0" w:rsidRDefault="002666DE" w:rsidP="002666DE">
      <w:pPr>
        <w:spacing w:after="0" w:line="240" w:lineRule="auto"/>
        <w:jc w:val="both"/>
        <w:rPr>
          <w:rFonts w:ascii="Century Gothic" w:hAnsi="Century Gothic"/>
          <w:b/>
        </w:rPr>
      </w:pPr>
      <w:r w:rsidRPr="00B843A0">
        <w:rPr>
          <w:rFonts w:ascii="Century Gothic" w:hAnsi="Century Gothic"/>
        </w:rPr>
        <w:t xml:space="preserve"> </w:t>
      </w:r>
      <w:r w:rsidRPr="00B843A0">
        <w:rPr>
          <w:rFonts w:ascii="Century Gothic" w:hAnsi="Century Gothic"/>
          <w:b/>
        </w:rPr>
        <w:t>LEONOR EUGENIA RUIZ DE VILLALOBOS</w:t>
      </w:r>
    </w:p>
    <w:p w:rsidR="00A06183" w:rsidRPr="00B843A0" w:rsidRDefault="002666DE" w:rsidP="002666DE">
      <w:pPr>
        <w:spacing w:after="0" w:line="240" w:lineRule="auto"/>
        <w:jc w:val="both"/>
        <w:rPr>
          <w:rFonts w:ascii="Century Gothic" w:hAnsi="Century Gothic"/>
        </w:rPr>
      </w:pPr>
      <w:r w:rsidRPr="00B843A0">
        <w:rPr>
          <w:rFonts w:ascii="Century Gothic" w:hAnsi="Century Gothic"/>
        </w:rPr>
        <w:t>Subdirectora de Gestión Normativa y Doctrina (A)</w:t>
      </w:r>
    </w:p>
    <w:sectPr w:rsidR="00A06183" w:rsidRPr="00B843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6DE"/>
    <w:rsid w:val="002666DE"/>
    <w:rsid w:val="003B44F2"/>
    <w:rsid w:val="005D35AF"/>
    <w:rsid w:val="00905BE0"/>
    <w:rsid w:val="00B8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CONTADOR</dc:creator>
  <cp:lastModifiedBy>CONTADOR</cp:lastModifiedBy>
  <cp:revision>3</cp:revision>
  <dcterms:created xsi:type="dcterms:W3CDTF">2012-08-22T14:02:00Z</dcterms:created>
  <dcterms:modified xsi:type="dcterms:W3CDTF">2012-08-22T14:12:00Z</dcterms:modified>
</cp:coreProperties>
</file>