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21" w:rsidRPr="00867532" w:rsidRDefault="00250221" w:rsidP="00250221">
      <w:pPr>
        <w:spacing w:after="0" w:line="240" w:lineRule="auto"/>
        <w:jc w:val="center"/>
        <w:rPr>
          <w:rFonts w:ascii="Arial" w:eastAsia="Times New Roman" w:hAnsi="Arial" w:cs="Arial"/>
          <w:sz w:val="24"/>
          <w:szCs w:val="24"/>
          <w:lang w:eastAsia="es-MX"/>
        </w:rPr>
      </w:pPr>
      <w:r w:rsidRPr="00867532">
        <w:rPr>
          <w:rFonts w:ascii="Arial" w:eastAsia="Times New Roman" w:hAnsi="Arial" w:cs="Arial"/>
          <w:b/>
          <w:bCs/>
          <w:sz w:val="24"/>
          <w:szCs w:val="24"/>
          <w:lang w:val="es-CO" w:eastAsia="es-MX"/>
        </w:rPr>
        <w:t>Concepto Nº 021343 11-07-2017</w:t>
      </w:r>
    </w:p>
    <w:p w:rsidR="00250221" w:rsidRPr="00867532" w:rsidRDefault="00250221" w:rsidP="00250221">
      <w:pPr>
        <w:spacing w:after="0" w:line="240" w:lineRule="auto"/>
        <w:jc w:val="center"/>
        <w:rPr>
          <w:rFonts w:ascii="Arial" w:eastAsia="Times New Roman" w:hAnsi="Arial" w:cs="Arial"/>
          <w:sz w:val="24"/>
          <w:szCs w:val="24"/>
          <w:lang w:eastAsia="es-MX"/>
        </w:rPr>
      </w:pPr>
      <w:r w:rsidRPr="00867532">
        <w:rPr>
          <w:rFonts w:ascii="Arial" w:eastAsia="Times New Roman" w:hAnsi="Arial" w:cs="Arial"/>
          <w:b/>
          <w:bCs/>
          <w:sz w:val="24"/>
          <w:szCs w:val="24"/>
          <w:lang w:val="es-CO" w:eastAsia="es-MX"/>
        </w:rPr>
        <w:t>Ministerio de Hacienda y Crédito Público</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 </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 </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Radicado: 2-2017-021343</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Bogotá D.C.</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 </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Señor</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GILBERTO GOMEZ CISNEROS</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Calle 4 No. 2- 20</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Neiva-Huila</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 </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Radicado entrada 1-2017-026729</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No. Expediente 10584/2017/RCO</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 </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b/>
          <w:bCs/>
          <w:sz w:val="24"/>
          <w:szCs w:val="24"/>
          <w:lang w:val="es-CO" w:eastAsia="es-MX"/>
        </w:rPr>
        <w:t>Asunto:</w:t>
      </w:r>
      <w:r w:rsidRPr="00867532">
        <w:rPr>
          <w:rFonts w:ascii="Arial" w:eastAsia="Times New Roman" w:hAnsi="Arial" w:cs="Arial"/>
          <w:sz w:val="24"/>
          <w:szCs w:val="24"/>
          <w:lang w:val="es-CO" w:eastAsia="es-MX"/>
        </w:rPr>
        <w:t> Impuesto de industria y comercio.</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b/>
          <w:bCs/>
          <w:sz w:val="24"/>
          <w:szCs w:val="24"/>
          <w:lang w:val="es-CO" w:eastAsia="es-MX"/>
        </w:rPr>
        <w:t>Subtema:</w:t>
      </w:r>
      <w:r w:rsidRPr="00867532">
        <w:rPr>
          <w:rFonts w:ascii="Arial" w:eastAsia="Times New Roman" w:hAnsi="Arial" w:cs="Arial"/>
          <w:sz w:val="24"/>
          <w:szCs w:val="24"/>
          <w:lang w:val="es-CO" w:eastAsia="es-MX"/>
        </w:rPr>
        <w:t> Territorialidad. Ley 1819 de 2016.</w:t>
      </w:r>
    </w:p>
    <w:p w:rsidR="00250221" w:rsidRPr="00867532" w:rsidRDefault="00250221" w:rsidP="00250221">
      <w:pPr>
        <w:spacing w:after="0" w:line="240" w:lineRule="auto"/>
        <w:jc w:val="both"/>
        <w:rPr>
          <w:rFonts w:ascii="Arial" w:eastAsia="Times New Roman" w:hAnsi="Arial" w:cs="Arial"/>
          <w:sz w:val="24"/>
          <w:szCs w:val="24"/>
          <w:lang w:eastAsia="es-MX"/>
        </w:rPr>
      </w:pPr>
      <w:r w:rsidRPr="00867532">
        <w:rPr>
          <w:rFonts w:ascii="Arial" w:eastAsia="Times New Roman" w:hAnsi="Arial" w:cs="Arial"/>
          <w:sz w:val="24"/>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Respetado señor Cisneros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Recibimos de la Dirección de Impuestos y Aduanas Nacionales, DIAN, con oficio radicado conforme el asunto su consulta relativa a la territorialidad en el impuesto de Industria y Comercio. En atención a lo anterior, damos respuesta no sin antes recordar que nuestros pronunciamientos se emiten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La Dirección General de Apoyo Fiscal en ejercicio de sus competencias establecidas en el Decreto 4712 de 2008, presta asesoría y asistencia técnica a las entidades territoriales en temas financieros, presupuestales y tributarios del nivel territorial, la cual no comprende el análisis de actos administrativos particulares de dichas entidades, ni la solución directa de problemas específicos, como tampoco la atención a particulares. Sin embargo, en respeto al derecho de petición que le asiste damos respuesta de manera general y abstracta.</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b/>
          <w:b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b/>
          <w:bCs/>
          <w:szCs w:val="24"/>
          <w:lang w:val="es-CO" w:eastAsia="es-MX"/>
        </w:rPr>
        <w:t>Consulta</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“Según el inciso b del numeral 2 del artículo 343 de la Ley 1819 de 2016, ¿qué se puede entender por lugar de perfeccionamiento de la venta? ¿La ciudad donde se desplaza el vendedor a tomar el pedido? O ¿la ciudad donde se factura y desde donde se despacha la mercancía?</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El hecho generador del impuesto de industria y comercio es la realización de cualquier actividad industrial, comercial o de servicios en una jurisdicción municipal, y, por ende, quien realice tal actividad deberá cumplir con las obligaciones de los contribuyentes como es inscribirse, declarar y pagar. Los artículos 197, 198 y 199</w:t>
      </w:r>
      <w:bookmarkStart w:id="0" w:name="m_-1231344677730743227__ftnref1"/>
      <w:r w:rsidRPr="00867532">
        <w:rPr>
          <w:rFonts w:ascii="Arial" w:eastAsia="Times New Roman" w:hAnsi="Arial" w:cs="Arial"/>
          <w:szCs w:val="24"/>
          <w:lang w:val="es-CO" w:eastAsia="es-MX"/>
        </w:rPr>
        <w:fldChar w:fldCharType="begin"/>
      </w:r>
      <w:r w:rsidRPr="00867532">
        <w:rPr>
          <w:rFonts w:ascii="Arial" w:eastAsia="Times New Roman" w:hAnsi="Arial" w:cs="Arial"/>
          <w:szCs w:val="24"/>
          <w:lang w:val="es-CO" w:eastAsia="es-MX"/>
        </w:rPr>
        <w:instrText xml:space="preserve"> HYPERLINK "https://www.ceta.org.co/html/vista_de_un_documento.asp?DocumentoID=32449" \l "_ftn1" \o "" \t "_blank" </w:instrText>
      </w:r>
      <w:r w:rsidRPr="00867532">
        <w:rPr>
          <w:rFonts w:ascii="Arial" w:eastAsia="Times New Roman" w:hAnsi="Arial" w:cs="Arial"/>
          <w:szCs w:val="24"/>
          <w:lang w:val="es-CO" w:eastAsia="es-MX"/>
        </w:rPr>
        <w:fldChar w:fldCharType="separate"/>
      </w:r>
      <w:r w:rsidRPr="00867532">
        <w:rPr>
          <w:rFonts w:ascii="Arial" w:eastAsia="Times New Roman" w:hAnsi="Arial" w:cs="Arial"/>
          <w:szCs w:val="24"/>
          <w:lang w:val="es-CO" w:eastAsia="es-MX"/>
        </w:rPr>
        <w:t>[1]</w:t>
      </w:r>
      <w:r w:rsidRPr="00867532">
        <w:rPr>
          <w:rFonts w:ascii="Arial" w:eastAsia="Times New Roman" w:hAnsi="Arial" w:cs="Arial"/>
          <w:szCs w:val="24"/>
          <w:lang w:val="es-CO" w:eastAsia="es-MX"/>
        </w:rPr>
        <w:fldChar w:fldCharType="end"/>
      </w:r>
      <w:bookmarkEnd w:id="0"/>
      <w:r w:rsidRPr="00867532">
        <w:rPr>
          <w:rFonts w:ascii="Arial" w:eastAsia="Times New Roman" w:hAnsi="Arial" w:cs="Arial"/>
          <w:szCs w:val="24"/>
          <w:lang w:val="es-CO" w:eastAsia="es-MX"/>
        </w:rPr>
        <w:t> del Decreto Ley 1333 de 1986 establecen qué se entiende por actividad industrial, comercial y de servicios, respectivamente, para efectos de la liquidación del impuesto de Industria y Comercio.</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lastRenderedPageBreak/>
        <w:t>El impuesto debe pagarse en el municipio en donde se ejerce la respectiva actividad gravada. Así lo prevé el artículo 195 del Decreto Ley 1333 de 1986, según el cual, “</w:t>
      </w:r>
      <w:r w:rsidRPr="00867532">
        <w:rPr>
          <w:rFonts w:ascii="Arial" w:eastAsia="Times New Roman" w:hAnsi="Arial" w:cs="Arial"/>
          <w:i/>
          <w:iCs/>
          <w:szCs w:val="24"/>
          <w:lang w:val="es-CO" w:eastAsia="es-MX"/>
        </w:rPr>
        <w:t>El impuesto de industria y comercio recaerá, en cuanto a materia imponible, sobre todas las actividades</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comerciales, industriales y de servicio </w:t>
      </w:r>
      <w:r w:rsidRPr="00867532">
        <w:rPr>
          <w:rFonts w:ascii="Arial" w:eastAsia="Times New Roman" w:hAnsi="Arial" w:cs="Arial"/>
          <w:i/>
          <w:iCs/>
          <w:szCs w:val="24"/>
          <w:u w:val="single"/>
          <w:lang w:val="es-CO" w:eastAsia="es-MX"/>
        </w:rPr>
        <w:t>que se ejerzan o realicen en las respectivas</w:t>
      </w:r>
      <w:r w:rsidRPr="00867532">
        <w:rPr>
          <w:rFonts w:ascii="Arial" w:eastAsia="Times New Roman" w:hAnsi="Arial" w:cs="Arial"/>
          <w:szCs w:val="24"/>
          <w:u w:val="single"/>
          <w:lang w:val="es-CO" w:eastAsia="es-MX"/>
        </w:rPr>
        <w:t> </w:t>
      </w:r>
      <w:r w:rsidRPr="00867532">
        <w:rPr>
          <w:rFonts w:ascii="Arial" w:eastAsia="Times New Roman" w:hAnsi="Arial" w:cs="Arial"/>
          <w:i/>
          <w:iCs/>
          <w:szCs w:val="24"/>
          <w:u w:val="single"/>
          <w:lang w:val="es-CO" w:eastAsia="es-MX"/>
        </w:rPr>
        <w:t>jurisdicciones municipales</w:t>
      </w:r>
      <w:r w:rsidRPr="00867532">
        <w:rPr>
          <w:rFonts w:ascii="Arial" w:eastAsia="Times New Roman" w:hAnsi="Arial" w:cs="Arial"/>
          <w:i/>
          <w:iCs/>
          <w:szCs w:val="24"/>
          <w:lang w:val="es-CO" w:eastAsia="es-MX"/>
        </w:rPr>
        <w:t>, directa o indirectamente, por personas naturales, jurídicas o por</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sociedades de hecho, ya sea que se cumplan en forma permanente u ocasional, en inmuebles</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determinados, con establecimientos de comercio o sin ellos.”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Dicha regla general se reitera en la Ley 1819 de 2016, en donde, para procurar claridad y mejorar el cumplimiento de las obligaciones tributarias de los contribuyentes en los municipios en donde efectivamente se realizan las actividades gravadas, el legislador se ocupó de fijar algunas reglas de territorialidad para el impuesto de Industria y Comercio. El artículo 343 de la Ley 1819 de 2016 dice:</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b/>
          <w:bCs/>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b/>
          <w:bCs/>
          <w:i/>
          <w:iCs/>
          <w:szCs w:val="24"/>
          <w:lang w:val="es-CO" w:eastAsia="es-MX"/>
        </w:rPr>
        <w:t>Artículo 343. Territorialidad del impuesto de industria y comercio. </w:t>
      </w:r>
      <w:r w:rsidRPr="00867532">
        <w:rPr>
          <w:rFonts w:ascii="Arial" w:eastAsia="Times New Roman" w:hAnsi="Arial" w:cs="Arial"/>
          <w:i/>
          <w:iCs/>
          <w:szCs w:val="24"/>
          <w:lang w:val="es-CO" w:eastAsia="es-MX"/>
        </w:rPr>
        <w:t>El impuesto de industria y comercio </w:t>
      </w:r>
      <w:r w:rsidRPr="00867532">
        <w:rPr>
          <w:rFonts w:ascii="Arial" w:eastAsia="Times New Roman" w:hAnsi="Arial" w:cs="Arial"/>
          <w:i/>
          <w:iCs/>
          <w:szCs w:val="24"/>
          <w:u w:val="single"/>
          <w:lang w:val="es-CO" w:eastAsia="es-MX"/>
        </w:rPr>
        <w:t>se causa a favor del municipio en el cual se realice la actividad gravada</w:t>
      </w:r>
      <w:r w:rsidRPr="00867532">
        <w:rPr>
          <w:rFonts w:ascii="Arial" w:eastAsia="Times New Roman" w:hAnsi="Arial" w:cs="Arial"/>
          <w:i/>
          <w:iCs/>
          <w:szCs w:val="24"/>
          <w:lang w:val="es-CO" w:eastAsia="es-MX"/>
        </w:rPr>
        <w:t>, bajo las siguientes reglas: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Se mantienen las reglas especiales de causación para el sector financiero señaladas en el artículo 211 del Decreto-ley 1333 de 1986 y de servicios públicos domiciliarios previstas en la Ley 383 de 1997.</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1. En la actividad industrial se mantiene la regla prevista en el artículo 77 de la Ley 49 de 1990 y se entiende que la comercialización de productos por él elaborados es la culminación de su actividad industrial y por tanto no causa el impuesto como actividad comercial en cabeza del mismo.</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2. En la actividad comercial se tendrán en cuenta las siguientes reglas: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a)</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Si la actividad se realiza en un establecimiento de comercio abierto al público o en puntos de venta, se entenderá realizada en el municipio en donde estos se encuentren;</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b)</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Si la actividad se realiza en un municipio en donde no existe establecimiento de comercio ni puntos de venta, la actividad se entenderá realizada en el municipio en donde se perfecciona la venta. Por tanto, el impuesto se causa en la jurisdicción del municipio en donde se convienen el precio y la cosa vendida;</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c)</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Las ventas directas al consumidor a través de correo, catálogos, compras en línea, tele ventas y ventas electrónicas se entenderán gravadas en el municipio que corresponda al lugar de despacho de la mercancía;</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d)</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En la actividad de inversionistas, los ingresos se entienden gravados en el municipio o distrito donde se encuentra ubicada la sede de la sociedad donde se poseen las inversiones.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3. En la actividad de servicios, el ingreso se entenderá percibido en el lugar donde se ejecute la prestación del mismo, salvo en los siguientes casos: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a)</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En la actividad de transporte el ingreso se entenderá percibido en el municipio o distrito desde donde se despacha el bien, mercancía o persona;</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b)</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En los servicios de televisión e Internet por suscripción y telefonía fija, el ingreso se entiende percibido en el municipio en el que se encuentre el suscriptor del servicio, según el lugar informado en el respectivo contrato;</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lastRenderedPageBreak/>
        <w:t>c)</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En el servicio de telefonía móvil, navegación móvil y servicio de datos, el ingreso se entiende percibido en el domicilio principal del usuario que registre al momento de la suscripción del contrato o en el documento de actualización. Las empresas de telefonía móvil deberán llevar un registro de ingresos discriminados por cada municipio o distrito, conforme la regla aquí establecida. El valor de ingresos cuya jurisdicción no pueda establecerse se distribuirá proporcionalmente en el total de municipios según su participación en los ingresos ya distribuidos. Lo previsto en este literal entrará en vigencia a partir del 1o de enero de 2018.</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i/>
          <w:iCs/>
          <w:szCs w:val="24"/>
          <w:lang w:val="es-CO" w:eastAsia="es-MX"/>
        </w:rPr>
        <w:t>En las actividades desarrolladas a través de patrimonios autónomos el impuesto se causa a favor del municipio donde se realicen, sobre la base gravable general y a la tarifa de la actividad ejercida.” (Subrayado fuera de texto)</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El literal b) del artículo transcrito se ocupa de definir la regla de territorialidad cuando la actividad comercial </w:t>
      </w:r>
      <w:r w:rsidRPr="00867532">
        <w:rPr>
          <w:rFonts w:ascii="Arial" w:eastAsia="Times New Roman" w:hAnsi="Arial" w:cs="Arial"/>
          <w:b/>
          <w:bCs/>
          <w:szCs w:val="24"/>
          <w:lang w:val="es-CO" w:eastAsia="es-MX"/>
        </w:rPr>
        <w:t>no se realiza </w:t>
      </w:r>
      <w:r w:rsidRPr="00867532">
        <w:rPr>
          <w:rFonts w:ascii="Arial" w:eastAsia="Times New Roman" w:hAnsi="Arial" w:cs="Arial"/>
          <w:szCs w:val="24"/>
          <w:lang w:val="es-CO" w:eastAsia="es-MX"/>
        </w:rPr>
        <w:t>en un establecimiento de comercio </w:t>
      </w:r>
      <w:r w:rsidRPr="00867532">
        <w:rPr>
          <w:rFonts w:ascii="Arial" w:eastAsia="Times New Roman" w:hAnsi="Arial" w:cs="Arial"/>
          <w:b/>
          <w:bCs/>
          <w:szCs w:val="24"/>
          <w:lang w:val="es-CO" w:eastAsia="es-MX"/>
        </w:rPr>
        <w:t>ni </w:t>
      </w:r>
      <w:r w:rsidRPr="00867532">
        <w:rPr>
          <w:rFonts w:ascii="Arial" w:eastAsia="Times New Roman" w:hAnsi="Arial" w:cs="Arial"/>
          <w:szCs w:val="24"/>
          <w:lang w:val="es-CO" w:eastAsia="es-MX"/>
        </w:rPr>
        <w:t>a través de correo, catálogos, compras en línea, tele ventas y ventas electrónicas. Los literales a) y c) definen las reglas aplicables en tales casos.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Conforme indica el literal b), cuando la actividad comercial se realiza en un municipio sin establecimiento de comercio ni puntos de venta, la actividad se entenderá realizada en el municipio en donde se perfecciona la venta. Por tanto, el impuesto se causa en la jurisdicción del municipio </w:t>
      </w:r>
      <w:r w:rsidRPr="00867532">
        <w:rPr>
          <w:rFonts w:ascii="Arial" w:eastAsia="Times New Roman" w:hAnsi="Arial" w:cs="Arial"/>
          <w:szCs w:val="24"/>
          <w:u w:val="single"/>
          <w:lang w:val="es-CO" w:eastAsia="es-MX"/>
        </w:rPr>
        <w:t>en donde se convienen el precio y la cosa vendida</w:t>
      </w:r>
      <w:r w:rsidRPr="00867532">
        <w:rPr>
          <w:rFonts w:ascii="Arial" w:eastAsia="Times New Roman" w:hAnsi="Arial" w:cs="Arial"/>
          <w:szCs w:val="24"/>
          <w:lang w:val="es-CO" w:eastAsia="es-MX"/>
        </w:rPr>
        <w:t>.</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En consecuencia, para el cumplimiento de sus obligaciones tributarias ante cada municipio en donde realice su actividad comercial, el contribuyente debe determinar a partir de su forma de operación el municipio en donde se entiende perfeccionada cada venta, es decir, “</w:t>
      </w:r>
      <w:r w:rsidRPr="00867532">
        <w:rPr>
          <w:rFonts w:ascii="Arial" w:eastAsia="Times New Roman" w:hAnsi="Arial" w:cs="Arial"/>
          <w:i/>
          <w:iCs/>
          <w:szCs w:val="24"/>
          <w:lang w:val="es-CO" w:eastAsia="es-MX"/>
        </w:rPr>
        <w:t>el municipio</w:t>
      </w:r>
      <w:r w:rsidRPr="00867532">
        <w:rPr>
          <w:rFonts w:ascii="Arial" w:eastAsia="Times New Roman" w:hAnsi="Arial" w:cs="Arial"/>
          <w:szCs w:val="24"/>
          <w:lang w:val="es-CO" w:eastAsia="es-MX"/>
        </w:rPr>
        <w:t> </w:t>
      </w:r>
      <w:r w:rsidRPr="00867532">
        <w:rPr>
          <w:rFonts w:ascii="Arial" w:eastAsia="Times New Roman" w:hAnsi="Arial" w:cs="Arial"/>
          <w:i/>
          <w:iCs/>
          <w:szCs w:val="24"/>
          <w:lang w:val="es-CO" w:eastAsia="es-MX"/>
        </w:rPr>
        <w:t>en donde se convienen el precio y la cosa vendida”. </w:t>
      </w:r>
      <w:r w:rsidRPr="00867532">
        <w:rPr>
          <w:rFonts w:ascii="Arial" w:eastAsia="Times New Roman" w:hAnsi="Arial" w:cs="Arial"/>
          <w:szCs w:val="24"/>
          <w:lang w:val="es-CO" w:eastAsia="es-MX"/>
        </w:rPr>
        <w:t>No resulta relevante en este tipo de ventas el lugar de despacho o de destino de las mercancías, puesto que, como se observa, este no fue el crit</w:t>
      </w:r>
      <w:r w:rsidR="00867532" w:rsidRPr="00867532">
        <w:rPr>
          <w:rFonts w:ascii="Arial" w:eastAsia="Times New Roman" w:hAnsi="Arial" w:cs="Arial"/>
          <w:szCs w:val="24"/>
          <w:lang w:val="es-CO" w:eastAsia="es-MX"/>
        </w:rPr>
        <w:t>erio utilizado por el legislador</w:t>
      </w:r>
      <w:r w:rsidRPr="00867532">
        <w:rPr>
          <w:rFonts w:ascii="Arial" w:eastAsia="Times New Roman" w:hAnsi="Arial" w:cs="Arial"/>
          <w:szCs w:val="24"/>
          <w:lang w:val="es-CO" w:eastAsia="es-MX"/>
        </w:rPr>
        <w:t xml:space="preserve"> para esta regla de territorialidad.</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Cordialmente,</w:t>
      </w:r>
      <w:bookmarkStart w:id="1" w:name="_GoBack"/>
      <w:bookmarkEnd w:id="1"/>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b/>
          <w:b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b/>
          <w:bCs/>
          <w:szCs w:val="24"/>
          <w:lang w:val="es-CO" w:eastAsia="es-MX"/>
        </w:rPr>
        <w:t> </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b/>
          <w:bCs/>
          <w:szCs w:val="24"/>
          <w:lang w:val="es-CO" w:eastAsia="es-MX"/>
        </w:rPr>
        <w:t>LUIS FERNANDO VILLOTA QUIÑONES</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Subdirector de Fortalecimiento Institucional Territorial</w:t>
      </w:r>
    </w:p>
    <w:p w:rsidR="00250221" w:rsidRPr="00867532" w:rsidRDefault="00250221" w:rsidP="00250221">
      <w:pPr>
        <w:spacing w:after="0" w:line="240" w:lineRule="auto"/>
        <w:jc w:val="both"/>
        <w:rPr>
          <w:rFonts w:ascii="Arial" w:eastAsia="Times New Roman" w:hAnsi="Arial" w:cs="Arial"/>
          <w:szCs w:val="24"/>
          <w:lang w:eastAsia="es-MX"/>
        </w:rPr>
      </w:pPr>
      <w:r w:rsidRPr="00867532">
        <w:rPr>
          <w:rFonts w:ascii="Arial" w:eastAsia="Times New Roman" w:hAnsi="Arial" w:cs="Arial"/>
          <w:szCs w:val="24"/>
          <w:lang w:val="es-CO" w:eastAsia="es-MX"/>
        </w:rPr>
        <w:t>Dirección General de Apoyo Fiscal</w:t>
      </w:r>
    </w:p>
    <w:p w:rsidR="008B0994" w:rsidRPr="00867532" w:rsidRDefault="008B0994">
      <w:pPr>
        <w:rPr>
          <w:sz w:val="20"/>
        </w:rPr>
      </w:pPr>
    </w:p>
    <w:sectPr w:rsidR="008B0994" w:rsidRPr="008675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21"/>
    <w:rsid w:val="00250221"/>
    <w:rsid w:val="00867532"/>
    <w:rsid w:val="008B0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47C9E-2E74-464E-A395-2EFB9920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0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10773">
      <w:bodyDiv w:val="1"/>
      <w:marLeft w:val="0"/>
      <w:marRight w:val="0"/>
      <w:marTop w:val="0"/>
      <w:marBottom w:val="0"/>
      <w:divBdr>
        <w:top w:val="none" w:sz="0" w:space="0" w:color="auto"/>
        <w:left w:val="none" w:sz="0" w:space="0" w:color="auto"/>
        <w:bottom w:val="none" w:sz="0" w:space="0" w:color="auto"/>
        <w:right w:val="none" w:sz="0" w:space="0" w:color="auto"/>
      </w:divBdr>
      <w:divsChild>
        <w:div w:id="2005351293">
          <w:marLeft w:val="180"/>
          <w:marRight w:val="0"/>
          <w:marTop w:val="0"/>
          <w:marBottom w:val="0"/>
          <w:divBdr>
            <w:top w:val="none" w:sz="0" w:space="0" w:color="auto"/>
            <w:left w:val="none" w:sz="0" w:space="0" w:color="auto"/>
            <w:bottom w:val="none" w:sz="0" w:space="0" w:color="auto"/>
            <w:right w:val="none" w:sz="0" w:space="0" w:color="auto"/>
          </w:divBdr>
        </w:div>
        <w:div w:id="1063794349">
          <w:marLeft w:val="180"/>
          <w:marRight w:val="0"/>
          <w:marTop w:val="0"/>
          <w:marBottom w:val="0"/>
          <w:divBdr>
            <w:top w:val="none" w:sz="0" w:space="0" w:color="auto"/>
            <w:left w:val="none" w:sz="0" w:space="0" w:color="auto"/>
            <w:bottom w:val="none" w:sz="0" w:space="0" w:color="auto"/>
            <w:right w:val="none" w:sz="0" w:space="0" w:color="auto"/>
          </w:divBdr>
        </w:div>
        <w:div w:id="692419548">
          <w:marLeft w:val="180"/>
          <w:marRight w:val="0"/>
          <w:marTop w:val="0"/>
          <w:marBottom w:val="0"/>
          <w:divBdr>
            <w:top w:val="none" w:sz="0" w:space="0" w:color="auto"/>
            <w:left w:val="none" w:sz="0" w:space="0" w:color="auto"/>
            <w:bottom w:val="none" w:sz="0" w:space="0" w:color="auto"/>
            <w:right w:val="none" w:sz="0" w:space="0" w:color="auto"/>
          </w:divBdr>
        </w:div>
        <w:div w:id="1702588806">
          <w:marLeft w:val="180"/>
          <w:marRight w:val="0"/>
          <w:marTop w:val="0"/>
          <w:marBottom w:val="0"/>
          <w:divBdr>
            <w:top w:val="none" w:sz="0" w:space="0" w:color="auto"/>
            <w:left w:val="none" w:sz="0" w:space="0" w:color="auto"/>
            <w:bottom w:val="none" w:sz="0" w:space="0" w:color="auto"/>
            <w:right w:val="none" w:sz="0" w:space="0" w:color="auto"/>
          </w:divBdr>
        </w:div>
        <w:div w:id="1083650252">
          <w:marLeft w:val="180"/>
          <w:marRight w:val="0"/>
          <w:marTop w:val="0"/>
          <w:marBottom w:val="0"/>
          <w:divBdr>
            <w:top w:val="none" w:sz="0" w:space="0" w:color="auto"/>
            <w:left w:val="none" w:sz="0" w:space="0" w:color="auto"/>
            <w:bottom w:val="none" w:sz="0" w:space="0" w:color="auto"/>
            <w:right w:val="none" w:sz="0" w:space="0" w:color="auto"/>
          </w:divBdr>
        </w:div>
        <w:div w:id="698313188">
          <w:marLeft w:val="180"/>
          <w:marRight w:val="0"/>
          <w:marTop w:val="0"/>
          <w:marBottom w:val="0"/>
          <w:divBdr>
            <w:top w:val="none" w:sz="0" w:space="0" w:color="auto"/>
            <w:left w:val="none" w:sz="0" w:space="0" w:color="auto"/>
            <w:bottom w:val="none" w:sz="0" w:space="0" w:color="auto"/>
            <w:right w:val="none" w:sz="0" w:space="0" w:color="auto"/>
          </w:divBdr>
        </w:div>
        <w:div w:id="173031126">
          <w:marLeft w:val="180"/>
          <w:marRight w:val="0"/>
          <w:marTop w:val="0"/>
          <w:marBottom w:val="0"/>
          <w:divBdr>
            <w:top w:val="none" w:sz="0" w:space="0" w:color="auto"/>
            <w:left w:val="none" w:sz="0" w:space="0" w:color="auto"/>
            <w:bottom w:val="none" w:sz="0" w:space="0" w:color="auto"/>
            <w:right w:val="none" w:sz="0" w:space="0" w:color="auto"/>
          </w:divBdr>
        </w:div>
        <w:div w:id="975136664">
          <w:marLeft w:val="720"/>
          <w:marRight w:val="0"/>
          <w:marTop w:val="0"/>
          <w:marBottom w:val="0"/>
          <w:divBdr>
            <w:top w:val="none" w:sz="0" w:space="0" w:color="auto"/>
            <w:left w:val="none" w:sz="0" w:space="0" w:color="auto"/>
            <w:bottom w:val="none" w:sz="0" w:space="0" w:color="auto"/>
            <w:right w:val="none" w:sz="0" w:space="0" w:color="auto"/>
          </w:divBdr>
        </w:div>
        <w:div w:id="1497846072">
          <w:marLeft w:val="720"/>
          <w:marRight w:val="0"/>
          <w:marTop w:val="0"/>
          <w:marBottom w:val="0"/>
          <w:divBdr>
            <w:top w:val="none" w:sz="0" w:space="0" w:color="auto"/>
            <w:left w:val="none" w:sz="0" w:space="0" w:color="auto"/>
            <w:bottom w:val="none" w:sz="0" w:space="0" w:color="auto"/>
            <w:right w:val="none" w:sz="0" w:space="0" w:color="auto"/>
          </w:divBdr>
        </w:div>
        <w:div w:id="3748973">
          <w:marLeft w:val="720"/>
          <w:marRight w:val="0"/>
          <w:marTop w:val="0"/>
          <w:marBottom w:val="0"/>
          <w:divBdr>
            <w:top w:val="none" w:sz="0" w:space="0" w:color="auto"/>
            <w:left w:val="none" w:sz="0" w:space="0" w:color="auto"/>
            <w:bottom w:val="none" w:sz="0" w:space="0" w:color="auto"/>
            <w:right w:val="none" w:sz="0" w:space="0" w:color="auto"/>
          </w:divBdr>
        </w:div>
        <w:div w:id="1372339166">
          <w:marLeft w:val="720"/>
          <w:marRight w:val="0"/>
          <w:marTop w:val="0"/>
          <w:marBottom w:val="0"/>
          <w:divBdr>
            <w:top w:val="none" w:sz="0" w:space="0" w:color="auto"/>
            <w:left w:val="none" w:sz="0" w:space="0" w:color="auto"/>
            <w:bottom w:val="none" w:sz="0" w:space="0" w:color="auto"/>
            <w:right w:val="none" w:sz="0" w:space="0" w:color="auto"/>
          </w:divBdr>
        </w:div>
        <w:div w:id="1323002027">
          <w:marLeft w:val="180"/>
          <w:marRight w:val="0"/>
          <w:marTop w:val="0"/>
          <w:marBottom w:val="0"/>
          <w:divBdr>
            <w:top w:val="none" w:sz="0" w:space="0" w:color="auto"/>
            <w:left w:val="none" w:sz="0" w:space="0" w:color="auto"/>
            <w:bottom w:val="none" w:sz="0" w:space="0" w:color="auto"/>
            <w:right w:val="none" w:sz="0" w:space="0" w:color="auto"/>
          </w:divBdr>
        </w:div>
        <w:div w:id="365764794">
          <w:marLeft w:val="720"/>
          <w:marRight w:val="0"/>
          <w:marTop w:val="0"/>
          <w:marBottom w:val="0"/>
          <w:divBdr>
            <w:top w:val="none" w:sz="0" w:space="0" w:color="auto"/>
            <w:left w:val="none" w:sz="0" w:space="0" w:color="auto"/>
            <w:bottom w:val="none" w:sz="0" w:space="0" w:color="auto"/>
            <w:right w:val="none" w:sz="0" w:space="0" w:color="auto"/>
          </w:divBdr>
        </w:div>
        <w:div w:id="271279390">
          <w:marLeft w:val="720"/>
          <w:marRight w:val="0"/>
          <w:marTop w:val="0"/>
          <w:marBottom w:val="0"/>
          <w:divBdr>
            <w:top w:val="none" w:sz="0" w:space="0" w:color="auto"/>
            <w:left w:val="none" w:sz="0" w:space="0" w:color="auto"/>
            <w:bottom w:val="none" w:sz="0" w:space="0" w:color="auto"/>
            <w:right w:val="none" w:sz="0" w:space="0" w:color="auto"/>
          </w:divBdr>
        </w:div>
        <w:div w:id="1335495254">
          <w:marLeft w:val="720"/>
          <w:marRight w:val="0"/>
          <w:marTop w:val="0"/>
          <w:marBottom w:val="0"/>
          <w:divBdr>
            <w:top w:val="none" w:sz="0" w:space="0" w:color="auto"/>
            <w:left w:val="none" w:sz="0" w:space="0" w:color="auto"/>
            <w:bottom w:val="none" w:sz="0" w:space="0" w:color="auto"/>
            <w:right w:val="none" w:sz="0" w:space="0" w:color="auto"/>
          </w:divBdr>
        </w:div>
        <w:div w:id="549810200">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2</cp:revision>
  <dcterms:created xsi:type="dcterms:W3CDTF">2017-08-25T13:45:00Z</dcterms:created>
  <dcterms:modified xsi:type="dcterms:W3CDTF">2017-08-28T03:21:00Z</dcterms:modified>
</cp:coreProperties>
</file>