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01" w:rsidRPr="00CA6301" w:rsidRDefault="00CA6301" w:rsidP="00CA6301">
      <w:pPr>
        <w:spacing w:after="0" w:line="240" w:lineRule="auto"/>
        <w:jc w:val="center"/>
        <w:rPr>
          <w:rFonts w:ascii="Arial" w:eastAsia="Times New Roman" w:hAnsi="Arial" w:cs="Arial"/>
          <w:color w:val="222222"/>
          <w:sz w:val="24"/>
          <w:szCs w:val="24"/>
          <w:lang w:eastAsia="es-MX"/>
        </w:rPr>
      </w:pPr>
      <w:bookmarkStart w:id="0" w:name="_GoBack"/>
      <w:r w:rsidRPr="00CA6301">
        <w:rPr>
          <w:rFonts w:ascii="Arial" w:eastAsia="Times New Roman" w:hAnsi="Arial" w:cs="Arial"/>
          <w:b/>
          <w:bCs/>
          <w:color w:val="0000FF"/>
          <w:sz w:val="24"/>
          <w:szCs w:val="24"/>
          <w:lang w:val="es-CO" w:eastAsia="es-MX"/>
        </w:rPr>
        <w:t>OFICIO Nº 764 [007292]  28-03-2019 DIAN</w:t>
      </w:r>
      <w:bookmarkEnd w:id="0"/>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b/>
          <w:bCs/>
          <w:color w:val="0000FF"/>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Subdirección de Gestión Normativa y Doctrina</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Bogotá, D.C.</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100208221 – 000764</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2204"/>
        <w:gridCol w:w="283"/>
        <w:gridCol w:w="283"/>
        <w:gridCol w:w="5020"/>
      </w:tblGrid>
      <w:tr w:rsidR="00CA6301" w:rsidRPr="00CA6301" w:rsidTr="00CA6301">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b/>
                <w:bCs/>
                <w:color w:val="222222"/>
                <w:sz w:val="24"/>
                <w:szCs w:val="24"/>
                <w:lang w:val="es-CO" w:eastAsia="es-MX"/>
              </w:rPr>
              <w:t>Tema</w:t>
            </w:r>
          </w:p>
        </w:tc>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tc>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tc>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Régimen Unificado de Tributación SIMPLE</w:t>
            </w:r>
          </w:p>
        </w:tc>
      </w:tr>
      <w:tr w:rsidR="00CA6301" w:rsidRPr="00CA6301" w:rsidTr="00CA6301">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b/>
                <w:bCs/>
                <w:color w:val="222222"/>
                <w:sz w:val="24"/>
                <w:szCs w:val="24"/>
                <w:lang w:val="es-CO" w:eastAsia="es-MX"/>
              </w:rPr>
              <w:t>Descriptores</w:t>
            </w:r>
          </w:p>
        </w:tc>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tc>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tc>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SUJETOS PASIVOS</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Sujetos que no pueden optar por el Impuesto</w:t>
            </w:r>
          </w:p>
        </w:tc>
      </w:tr>
      <w:tr w:rsidR="00CA6301" w:rsidRPr="00CA6301" w:rsidTr="00CA6301">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b/>
                <w:bCs/>
                <w:color w:val="222222"/>
                <w:sz w:val="24"/>
                <w:szCs w:val="24"/>
                <w:lang w:val="es-CO" w:eastAsia="es-MX"/>
              </w:rPr>
              <w:t>Fuentes formales</w:t>
            </w:r>
          </w:p>
        </w:tc>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tc>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tc>
        <w:tc>
          <w:tcPr>
            <w:tcW w:w="0" w:type="auto"/>
            <w:tcBorders>
              <w:top w:val="nil"/>
              <w:left w:val="nil"/>
              <w:bottom w:val="nil"/>
              <w:right w:val="nil"/>
            </w:tcBorders>
            <w:tcMar>
              <w:top w:w="0" w:type="dxa"/>
              <w:left w:w="108" w:type="dxa"/>
              <w:bottom w:w="0" w:type="dxa"/>
              <w:right w:w="108" w:type="dxa"/>
            </w:tcMar>
            <w:vAlign w:val="center"/>
            <w:hideMark/>
          </w:tcPr>
          <w:p w:rsidR="00CA6301" w:rsidRPr="00CA6301" w:rsidRDefault="00CA6301" w:rsidP="00CA6301">
            <w:pPr>
              <w:spacing w:after="0" w:line="240" w:lineRule="auto"/>
              <w:jc w:val="both"/>
              <w:rPr>
                <w:rFonts w:ascii="Arial" w:eastAsia="Times New Roman" w:hAnsi="Arial" w:cs="Arial"/>
                <w:color w:val="222222"/>
                <w:sz w:val="24"/>
                <w:szCs w:val="24"/>
                <w:lang w:eastAsia="es-MX"/>
              </w:rPr>
            </w:pPr>
            <w:hyperlink r:id="rId4" w:tgtFrame="_blank" w:tooltip="Estatuto Tributario CETA" w:history="1">
              <w:r w:rsidRPr="00CA6301">
                <w:rPr>
                  <w:rFonts w:ascii="Arial" w:eastAsia="Times New Roman" w:hAnsi="Arial" w:cs="Arial"/>
                  <w:color w:val="0089E1"/>
                  <w:sz w:val="24"/>
                  <w:szCs w:val="24"/>
                  <w:u w:val="single"/>
                  <w:lang w:val="es-CO" w:eastAsia="es-MX"/>
                </w:rPr>
                <w:t>Artículo 906</w:t>
              </w:r>
            </w:hyperlink>
            <w:r w:rsidRPr="00CA6301">
              <w:rPr>
                <w:rFonts w:ascii="Arial" w:eastAsia="Times New Roman" w:hAnsi="Arial" w:cs="Arial"/>
                <w:color w:val="222222"/>
                <w:sz w:val="24"/>
                <w:szCs w:val="24"/>
                <w:lang w:val="es-CO" w:eastAsia="es-MX"/>
              </w:rPr>
              <w:t> del Estatuto Tributario</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Artículo 66 de la Ley 1943 de 2018</w:t>
            </w:r>
          </w:p>
        </w:tc>
      </w:tr>
    </w:tbl>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UAE – DIAN.</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Previo a contestar la petición, es necesario advertir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Los que a su vez no tienen como fin solucionar problemáticas individuales, validar posturas jurídicas y menos aún asesorar a entidades públicas o privadas en el desarrollo de las actividades a su cargo.</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En el caso objeto de estudio, se plantean unas inquietudes referidas al nuevo impuesto unificado bajo el régimen simple de tributación –SIMPLE, creado por la Ley 1943 de 2018, relacionadas con los numerales 4º y 8º del </w:t>
      </w:r>
      <w:hyperlink r:id="rId5" w:tgtFrame="_blank" w:tooltip="Estatuto Tributario CETA" w:history="1">
        <w:r w:rsidRPr="00CA6301">
          <w:rPr>
            <w:rFonts w:ascii="Arial" w:eastAsia="Times New Roman" w:hAnsi="Arial" w:cs="Arial"/>
            <w:color w:val="0089E1"/>
            <w:sz w:val="24"/>
            <w:szCs w:val="24"/>
            <w:u w:val="single"/>
            <w:lang w:val="es-CO" w:eastAsia="es-MX"/>
          </w:rPr>
          <w:t>artículo 906</w:t>
        </w:r>
      </w:hyperlink>
      <w:r w:rsidRPr="00CA6301">
        <w:rPr>
          <w:rFonts w:ascii="Arial" w:eastAsia="Times New Roman" w:hAnsi="Arial" w:cs="Arial"/>
          <w:color w:val="222222"/>
          <w:sz w:val="24"/>
          <w:szCs w:val="24"/>
          <w:lang w:val="es-CO" w:eastAsia="es-MX"/>
        </w:rPr>
        <w:t> del Estatuto Tributario.</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Sobre el particular se considera:</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El impuesto unificado bajo el régimen simple de tributación –SIMPLE, creado con la finalidad de reducir las cargas formales y sustanciales, impulsar la formalidad y, en general, simplificar y facilitar el cumplimiento de la obligación tributaria de los contribuyentes que voluntariamente se acojan.</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Si bien el legislador dispuso que se trata de un régimen de impuesto unificado con carácter opcional, sí se establecieron unas restricciones para algunos sujetos, los cuales no pueden optar por este régimen y están previstos en el </w:t>
      </w:r>
      <w:hyperlink r:id="rId6" w:tgtFrame="_blank" w:tooltip="Estatuto Tributario CETA" w:history="1">
        <w:r w:rsidRPr="00CA6301">
          <w:rPr>
            <w:rFonts w:ascii="Arial" w:eastAsia="Times New Roman" w:hAnsi="Arial" w:cs="Arial"/>
            <w:color w:val="0089E1"/>
            <w:sz w:val="24"/>
            <w:szCs w:val="24"/>
            <w:u w:val="single"/>
            <w:lang w:val="es-CO" w:eastAsia="es-MX"/>
          </w:rPr>
          <w:t>artículo 906</w:t>
        </w:r>
      </w:hyperlink>
      <w:r w:rsidRPr="00CA6301">
        <w:rPr>
          <w:rFonts w:ascii="Arial" w:eastAsia="Times New Roman" w:hAnsi="Arial" w:cs="Arial"/>
          <w:color w:val="222222"/>
          <w:sz w:val="24"/>
          <w:szCs w:val="24"/>
          <w:lang w:val="es-CO" w:eastAsia="es-MX"/>
        </w:rPr>
        <w:t> del Estatuto Tributario.</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lastRenderedPageBreak/>
        <w:t>Uno de estos casos, es el contenido numeral 4 de la norma mencionada, el legislador expresó a:</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 </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“4. Las sociedades cuyos socios o administradores tengan en sustancia una </w:t>
      </w:r>
      <w:r w:rsidRPr="00CA6301">
        <w:rPr>
          <w:rFonts w:ascii="Arial" w:eastAsia="Times New Roman" w:hAnsi="Arial" w:cs="Arial"/>
          <w:i/>
          <w:iCs/>
          <w:color w:val="222222"/>
          <w:sz w:val="24"/>
          <w:szCs w:val="24"/>
          <w:u w:val="single"/>
          <w:lang w:val="es-CO" w:eastAsia="es-MX"/>
        </w:rPr>
        <w:t>relación laboral con el contratante</w:t>
      </w:r>
      <w:r w:rsidRPr="00CA6301">
        <w:rPr>
          <w:rFonts w:ascii="Arial" w:eastAsia="Times New Roman" w:hAnsi="Arial" w:cs="Arial"/>
          <w:i/>
          <w:iCs/>
          <w:color w:val="222222"/>
          <w:sz w:val="24"/>
          <w:szCs w:val="24"/>
          <w:lang w:val="es-CO" w:eastAsia="es-MX"/>
        </w:rPr>
        <w:t>, por tratarse de servicios personales, prestados con habitualidad y subordinación”.</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De la norma trascrita se deducen dos sujetos diferentes: i) las sociedades que no pueden optar por el impuesto y ii) el contratante.</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Así las cosas, la norma se refiere a que no pueden optar por el Régimen SIMPLE las sociedades:</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1. Cuyos socios o administradores tienen una relación laboral de subordinación con un tercer sujeto contratante.</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2. Relación laboral consistente en la prestación de </w:t>
      </w:r>
      <w:r w:rsidRPr="00CA6301">
        <w:rPr>
          <w:rFonts w:ascii="Arial" w:eastAsia="Times New Roman" w:hAnsi="Arial" w:cs="Arial"/>
          <w:color w:val="222222"/>
          <w:sz w:val="24"/>
          <w:szCs w:val="24"/>
          <w:u w:val="single"/>
          <w:lang w:val="es-CO" w:eastAsia="es-MX"/>
        </w:rPr>
        <w:t>servicios personales</w:t>
      </w:r>
      <w:r w:rsidRPr="00CA6301">
        <w:rPr>
          <w:rFonts w:ascii="Arial" w:eastAsia="Times New Roman" w:hAnsi="Arial" w:cs="Arial"/>
          <w:color w:val="222222"/>
          <w:sz w:val="24"/>
          <w:szCs w:val="24"/>
          <w:lang w:val="es-CO" w:eastAsia="es-MX"/>
        </w:rPr>
        <w:t> de manera habitual.</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Esta norma refiere el concepto contratante, como un tercer sujeto, puesto que resultaría ilógico que se tratara de la misma sociedad como empleadora, debido a que por lo general los administradores mantienen una relación laboral de subordinación con la sociedad para la que laboran, siendo ella su empleador.</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Así las cosas, del texto de la norma se infiere que se excluyen de la posibilidad de optar por el SIMPLE las sociedades cuyos socios o administradores prestan sus servicios personales con habitualidad y subordinación, manteniendo una relación laboral con un tercer sujeto, denominado contratante.</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Lo anterior, visibiliza la existencia de un vínculo de dependencia de los socios o administradores con ese tercer sujeto, al cual le prestan sus servicios personales.</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En cuanto a la segunda inquietud, relacionada con lo dispuesto en el numeral 8 del </w:t>
      </w:r>
      <w:hyperlink r:id="rId7" w:tgtFrame="_blank" w:tooltip="Estatuto Tributario CETA" w:history="1">
        <w:r w:rsidRPr="00CA6301">
          <w:rPr>
            <w:rFonts w:ascii="Arial" w:eastAsia="Times New Roman" w:hAnsi="Arial" w:cs="Arial"/>
            <w:color w:val="0089E1"/>
            <w:sz w:val="24"/>
            <w:szCs w:val="24"/>
            <w:u w:val="single"/>
            <w:lang w:val="es-CO" w:eastAsia="es-MX"/>
          </w:rPr>
          <w:t>artículo 906</w:t>
        </w:r>
      </w:hyperlink>
      <w:r w:rsidRPr="00CA6301">
        <w:rPr>
          <w:rFonts w:ascii="Arial" w:eastAsia="Times New Roman" w:hAnsi="Arial" w:cs="Arial"/>
          <w:color w:val="222222"/>
          <w:sz w:val="24"/>
          <w:szCs w:val="24"/>
          <w:lang w:val="es-CO" w:eastAsia="es-MX"/>
        </w:rPr>
        <w:t> del Estatuto Tributario, frente al cual la peticionaria consulta si una empresa que contemple dentro de sus actividades el alquiler de equipos puede acogerse a este régimen.</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Este numeral establece lo siguiente:</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 </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8. Las personas naturales o jurídicas dedicadas a alguna de las siguientes actividades:</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 </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a. Actividades de microcrédito;</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b. Actividades de gestión de activos, intermediación en la venta de activos, </w:t>
      </w:r>
      <w:r w:rsidRPr="00CA6301">
        <w:rPr>
          <w:rFonts w:ascii="Arial" w:eastAsia="Times New Roman" w:hAnsi="Arial" w:cs="Arial"/>
          <w:b/>
          <w:bCs/>
          <w:i/>
          <w:iCs/>
          <w:color w:val="222222"/>
          <w:sz w:val="24"/>
          <w:szCs w:val="24"/>
          <w:lang w:val="es-CO" w:eastAsia="es-MX"/>
        </w:rPr>
        <w:t>arrendamiento de activos y/o las actividades que generen ingresos pasivos que representen un 20% o más de los ingresos brutos totales de la persona natural o jurídica.</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lastRenderedPageBreak/>
        <w:t xml:space="preserve">c. Factoraje o </w:t>
      </w:r>
      <w:proofErr w:type="spellStart"/>
      <w:r w:rsidRPr="00CA6301">
        <w:rPr>
          <w:rFonts w:ascii="Arial" w:eastAsia="Times New Roman" w:hAnsi="Arial" w:cs="Arial"/>
          <w:i/>
          <w:iCs/>
          <w:color w:val="222222"/>
          <w:sz w:val="24"/>
          <w:szCs w:val="24"/>
          <w:lang w:val="es-CO" w:eastAsia="es-MX"/>
        </w:rPr>
        <w:t>factoring</w:t>
      </w:r>
      <w:proofErr w:type="spellEnd"/>
      <w:r w:rsidRPr="00CA6301">
        <w:rPr>
          <w:rFonts w:ascii="Arial" w:eastAsia="Times New Roman" w:hAnsi="Arial" w:cs="Arial"/>
          <w:i/>
          <w:iCs/>
          <w:color w:val="222222"/>
          <w:sz w:val="24"/>
          <w:szCs w:val="24"/>
          <w:lang w:val="es-CO" w:eastAsia="es-MX"/>
        </w:rPr>
        <w:t>;</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d. Servicios de asesoría financiera y/o estructuración de créditos;</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e. Generación, transmisión, distribución o comercialización de energía eléctrica;</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f. Actividad de fabricación, importación o comercialización de automóviles;</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g. Actividad de importación de combustibles;</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h. Producción o comercialización de armas de fuego, municiones y pólvoras, explosivos y detonantes.</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i/>
          <w:iCs/>
          <w:color w:val="222222"/>
          <w:sz w:val="24"/>
          <w:szCs w:val="24"/>
          <w:lang w:val="es-CO" w:eastAsia="es-MX"/>
        </w:rPr>
        <w:t>(…)”</w:t>
      </w:r>
    </w:p>
    <w:p w:rsidR="00CA6301" w:rsidRPr="00CA6301" w:rsidRDefault="00CA6301" w:rsidP="00CA6301">
      <w:pPr>
        <w:spacing w:after="0" w:line="240" w:lineRule="auto"/>
        <w:ind w:left="180"/>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(Negrilla fuera del texto)</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Sin perjuicio del desarrollo que sobre este punto haga la reglamentación que se expida, este despacho destaca del aparte de la norma citada unos elementos que resolver la inquietud planteada.</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El numeral 8 establece unas actividades cuyo ejercicio no le permite a la persona (natural o jurídica) optar por el Régimen SIMPLE. El literal b) establece una condición para las actividades allí contenidas y es que su desarrollo represente un 20% o más de los ingresos brutos totales, condición que se predica de todas las actividades mencionadas en este literal.</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Lo anterior significa que si el desarrollo de la actividad de arrendamiento de activos (caso materia de análisis en la presente consulta) representa un 20% o más de los ingresos brutos totales, la persona (natural o jurídica) no puede optar por el Régimen SIMPLE, conclusión que además permite señalar que se deberá analizar si cumple con los requisitos para poder acogerse a este régimen, respecto de las actividades que generan el resto de los ingresos percibidos.</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8" w:tgtFrame="_blank" w:history="1">
        <w:r w:rsidRPr="00CA6301">
          <w:rPr>
            <w:rFonts w:ascii="Arial" w:eastAsia="Times New Roman" w:hAnsi="Arial" w:cs="Arial"/>
            <w:color w:val="0563C1"/>
            <w:sz w:val="24"/>
            <w:szCs w:val="24"/>
            <w:u w:val="single"/>
            <w:lang w:val="es-CO" w:eastAsia="es-MX"/>
          </w:rPr>
          <w:t>www.dian.gov.co</w:t>
        </w:r>
      </w:hyperlink>
      <w:r w:rsidRPr="00CA6301">
        <w:rPr>
          <w:rFonts w:ascii="Arial" w:eastAsia="Times New Roman" w:hAnsi="Arial" w:cs="Arial"/>
          <w:color w:val="222222"/>
          <w:sz w:val="24"/>
          <w:szCs w:val="24"/>
          <w:lang w:val="es-CO" w:eastAsia="es-MX"/>
        </w:rPr>
        <w:t xml:space="preserve">, la base de conceptos en materia tributaria, aduanera y cambiaria expedidos desde el año 2001, la cual se puede ingresar por el ícono de “Normatividad” -“técnica”-, dando </w:t>
      </w:r>
      <w:proofErr w:type="spellStart"/>
      <w:r w:rsidRPr="00CA6301">
        <w:rPr>
          <w:rFonts w:ascii="Arial" w:eastAsia="Times New Roman" w:hAnsi="Arial" w:cs="Arial"/>
          <w:color w:val="222222"/>
          <w:sz w:val="24"/>
          <w:szCs w:val="24"/>
          <w:lang w:val="es-CO" w:eastAsia="es-MX"/>
        </w:rPr>
        <w:t>click</w:t>
      </w:r>
      <w:proofErr w:type="spellEnd"/>
      <w:r w:rsidRPr="00CA6301">
        <w:rPr>
          <w:rFonts w:ascii="Arial" w:eastAsia="Times New Roman" w:hAnsi="Arial" w:cs="Arial"/>
          <w:color w:val="222222"/>
          <w:sz w:val="24"/>
          <w:szCs w:val="24"/>
          <w:lang w:val="es-CO" w:eastAsia="es-MX"/>
        </w:rPr>
        <w:t xml:space="preserve"> en el link “Doctrina Dirección de Gestión Jurídica”.</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Atentamente,</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 </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b/>
          <w:bCs/>
          <w:color w:val="222222"/>
          <w:sz w:val="24"/>
          <w:szCs w:val="24"/>
          <w:lang w:val="es-CO" w:eastAsia="es-MX"/>
        </w:rPr>
        <w:t>LORENZO CASTILLO BARVO</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Subdirector de Gestión Normativa y Doctrina (E)</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Dirección de Gestión Jurídica</w:t>
      </w:r>
    </w:p>
    <w:p w:rsidR="00CA6301" w:rsidRPr="00CA6301" w:rsidRDefault="00CA6301" w:rsidP="00CA6301">
      <w:pPr>
        <w:spacing w:after="0" w:line="240" w:lineRule="auto"/>
        <w:jc w:val="both"/>
        <w:rPr>
          <w:rFonts w:ascii="Arial" w:eastAsia="Times New Roman" w:hAnsi="Arial" w:cs="Arial"/>
          <w:color w:val="222222"/>
          <w:sz w:val="24"/>
          <w:szCs w:val="24"/>
          <w:lang w:eastAsia="es-MX"/>
        </w:rPr>
      </w:pPr>
      <w:r w:rsidRPr="00CA6301">
        <w:rPr>
          <w:rFonts w:ascii="Arial" w:eastAsia="Times New Roman" w:hAnsi="Arial" w:cs="Arial"/>
          <w:color w:val="222222"/>
          <w:sz w:val="24"/>
          <w:szCs w:val="24"/>
          <w:lang w:val="es-CO" w:eastAsia="es-MX"/>
        </w:rPr>
        <w:t>UAE-DIAN</w:t>
      </w:r>
    </w:p>
    <w:p w:rsidR="009656DA" w:rsidRDefault="009656DA"/>
    <w:sectPr w:rsidR="009656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01"/>
    <w:rsid w:val="009656DA"/>
    <w:rsid w:val="00CA6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52759-FF83-43B8-8C79-89BCA3CF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63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CA6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5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17" TargetMode="External"/><Relationship Id="rId5" Type="http://schemas.openxmlformats.org/officeDocument/2006/relationships/hyperlink" Target="https://www.ceta.org.co/html/vista_de_un_articulo.asp?Norma=42517" TargetMode="External"/><Relationship Id="rId10" Type="http://schemas.openxmlformats.org/officeDocument/2006/relationships/theme" Target="theme/theme1.xml"/><Relationship Id="rId4" Type="http://schemas.openxmlformats.org/officeDocument/2006/relationships/hyperlink" Target="https://www.ceta.org.co/html/vista_de_un_articulo.asp?Norma=42517"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1086</Words>
  <Characters>5974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WILIAM</dc:creator>
  <cp:keywords/>
  <dc:description/>
  <cp:lastModifiedBy>WILIAM</cp:lastModifiedBy>
  <cp:revision>1</cp:revision>
  <dcterms:created xsi:type="dcterms:W3CDTF">2019-06-13T01:24:00Z</dcterms:created>
  <dcterms:modified xsi:type="dcterms:W3CDTF">2019-06-13T01:27:00Z</dcterms:modified>
</cp:coreProperties>
</file>