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8912" w14:textId="77777777" w:rsidR="000B2AD5" w:rsidRPr="000B2AD5" w:rsidRDefault="000B2AD5" w:rsidP="000B2AD5">
      <w:pPr>
        <w:spacing w:after="100" w:afterAutospacing="1" w:line="240" w:lineRule="auto"/>
        <w:jc w:val="center"/>
        <w:rPr>
          <w:rFonts w:ascii="Arial" w:eastAsia="Times New Roman" w:hAnsi="Arial" w:cs="Arial"/>
          <w:sz w:val="24"/>
          <w:szCs w:val="24"/>
          <w:lang w:eastAsia="es-CO"/>
        </w:rPr>
      </w:pPr>
      <w:r w:rsidRPr="000B2AD5">
        <w:rPr>
          <w:rFonts w:ascii="Arial" w:eastAsia="Times New Roman" w:hAnsi="Arial" w:cs="Arial"/>
          <w:b/>
          <w:bCs/>
          <w:sz w:val="24"/>
          <w:szCs w:val="24"/>
          <w:lang w:eastAsia="es-CO"/>
        </w:rPr>
        <w:t xml:space="preserve">OFICIO </w:t>
      </w:r>
      <w:proofErr w:type="spellStart"/>
      <w:r w:rsidRPr="000B2AD5">
        <w:rPr>
          <w:rFonts w:ascii="Arial" w:eastAsia="Times New Roman" w:hAnsi="Arial" w:cs="Arial"/>
          <w:b/>
          <w:bCs/>
          <w:sz w:val="24"/>
          <w:szCs w:val="24"/>
          <w:lang w:eastAsia="es-CO"/>
        </w:rPr>
        <w:t>Nº</w:t>
      </w:r>
      <w:proofErr w:type="spellEnd"/>
      <w:r w:rsidRPr="000B2AD5">
        <w:rPr>
          <w:rFonts w:ascii="Arial" w:eastAsia="Times New Roman" w:hAnsi="Arial" w:cs="Arial"/>
          <w:b/>
          <w:bCs/>
          <w:sz w:val="24"/>
          <w:szCs w:val="24"/>
          <w:lang w:eastAsia="es-CO"/>
        </w:rPr>
        <w:t xml:space="preserve"> 0264 (900579)</w:t>
      </w:r>
    </w:p>
    <w:p w14:paraId="5D857724" w14:textId="77777777" w:rsidR="000B2AD5" w:rsidRPr="000B2AD5" w:rsidRDefault="000B2AD5" w:rsidP="000B2AD5">
      <w:pPr>
        <w:spacing w:after="100" w:afterAutospacing="1" w:line="240" w:lineRule="auto"/>
        <w:jc w:val="center"/>
        <w:rPr>
          <w:rFonts w:ascii="Arial" w:eastAsia="Times New Roman" w:hAnsi="Arial" w:cs="Arial"/>
          <w:sz w:val="24"/>
          <w:szCs w:val="24"/>
          <w:lang w:eastAsia="es-CO"/>
        </w:rPr>
      </w:pPr>
      <w:r w:rsidRPr="000B2AD5">
        <w:rPr>
          <w:rFonts w:ascii="Arial" w:eastAsia="Times New Roman" w:hAnsi="Arial" w:cs="Arial"/>
          <w:b/>
          <w:bCs/>
          <w:sz w:val="24"/>
          <w:szCs w:val="24"/>
          <w:lang w:eastAsia="es-CO"/>
        </w:rPr>
        <w:t>04-03-2020</w:t>
      </w:r>
    </w:p>
    <w:p w14:paraId="643886CE" w14:textId="77777777" w:rsidR="000B2AD5" w:rsidRPr="000B2AD5" w:rsidRDefault="000B2AD5" w:rsidP="000B2AD5">
      <w:pPr>
        <w:spacing w:after="100" w:afterAutospacing="1" w:line="240" w:lineRule="auto"/>
        <w:jc w:val="center"/>
        <w:rPr>
          <w:rFonts w:ascii="Arial" w:eastAsia="Times New Roman" w:hAnsi="Arial" w:cs="Arial"/>
          <w:sz w:val="24"/>
          <w:szCs w:val="24"/>
          <w:lang w:eastAsia="es-CO"/>
        </w:rPr>
      </w:pPr>
      <w:r w:rsidRPr="000B2AD5">
        <w:rPr>
          <w:rFonts w:ascii="Arial" w:eastAsia="Times New Roman" w:hAnsi="Arial" w:cs="Arial"/>
          <w:b/>
          <w:bCs/>
          <w:sz w:val="24"/>
          <w:szCs w:val="24"/>
          <w:lang w:eastAsia="es-CO"/>
        </w:rPr>
        <w:t>DIAN</w:t>
      </w:r>
    </w:p>
    <w:p w14:paraId="679867CC" w14:textId="77777777" w:rsidR="000B2AD5" w:rsidRPr="000B2AD5" w:rsidRDefault="000B2AD5" w:rsidP="000B2AD5">
      <w:pPr>
        <w:spacing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color w:val="000000"/>
          <w:sz w:val="24"/>
          <w:szCs w:val="24"/>
          <w:lang w:eastAsia="es-CO"/>
        </w:rPr>
        <w:t>Subdirección de Gestión Normativa y Doctrina</w:t>
      </w:r>
    </w:p>
    <w:p w14:paraId="5CD2EA94"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color w:val="000000"/>
          <w:sz w:val="24"/>
          <w:szCs w:val="24"/>
          <w:lang w:eastAsia="es-CO"/>
        </w:rPr>
        <w:t>100208221-000264</w:t>
      </w:r>
    </w:p>
    <w:p w14:paraId="227E1811"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color w:val="000000"/>
          <w:sz w:val="24"/>
          <w:szCs w:val="24"/>
          <w:lang w:eastAsia="es-CO"/>
        </w:rPr>
        <w:t>Bogotá, D.C.</w:t>
      </w:r>
    </w:p>
    <w:p w14:paraId="5A6E1805"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p w14:paraId="4C9C5B78"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proofErr w:type="spellStart"/>
      <w:r w:rsidRPr="000B2AD5">
        <w:rPr>
          <w:rFonts w:ascii="Arial" w:eastAsia="Times New Roman" w:hAnsi="Arial" w:cs="Arial"/>
          <w:b/>
          <w:bCs/>
          <w:color w:val="000000"/>
          <w:sz w:val="24"/>
          <w:szCs w:val="24"/>
          <w:lang w:eastAsia="es-CO"/>
        </w:rPr>
        <w:t>Ref</w:t>
      </w:r>
      <w:proofErr w:type="spellEnd"/>
      <w:r w:rsidRPr="000B2AD5">
        <w:rPr>
          <w:rFonts w:ascii="Arial" w:eastAsia="Times New Roman" w:hAnsi="Arial" w:cs="Arial"/>
          <w:b/>
          <w:bCs/>
          <w:color w:val="000000"/>
          <w:sz w:val="24"/>
          <w:szCs w:val="24"/>
          <w:lang w:eastAsia="es-CO"/>
        </w:rPr>
        <w:t>:</w:t>
      </w:r>
      <w:r w:rsidRPr="000B2AD5">
        <w:rPr>
          <w:rFonts w:ascii="Arial" w:eastAsia="Times New Roman" w:hAnsi="Arial" w:cs="Arial"/>
          <w:color w:val="000000"/>
          <w:sz w:val="24"/>
          <w:szCs w:val="24"/>
          <w:lang w:eastAsia="es-CO"/>
        </w:rPr>
        <w:t> Radicado 100005088 del 21/01/2020 y 100013341 del 14/02/2020</w:t>
      </w:r>
    </w:p>
    <w:p w14:paraId="256DFAC3"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p w14:paraId="0739E176" w14:textId="77777777" w:rsidR="000B2AD5" w:rsidRPr="000B2AD5" w:rsidRDefault="000B2AD5" w:rsidP="000B2AD5">
      <w:pPr>
        <w:spacing w:before="100" w:beforeAutospacing="1" w:after="285"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tbl>
      <w:tblPr>
        <w:tblW w:w="0" w:type="auto"/>
        <w:tblCellMar>
          <w:top w:w="15" w:type="dxa"/>
          <w:left w:w="15" w:type="dxa"/>
          <w:bottom w:w="15" w:type="dxa"/>
          <w:right w:w="15" w:type="dxa"/>
        </w:tblCellMar>
        <w:tblLook w:val="04A0" w:firstRow="1" w:lastRow="0" w:firstColumn="1" w:lastColumn="0" w:noHBand="0" w:noVBand="1"/>
      </w:tblPr>
      <w:tblGrid>
        <w:gridCol w:w="2177"/>
        <w:gridCol w:w="283"/>
        <w:gridCol w:w="283"/>
        <w:gridCol w:w="6095"/>
      </w:tblGrid>
      <w:tr w:rsidR="000B2AD5" w:rsidRPr="000B2AD5" w14:paraId="04FB351E" w14:textId="77777777" w:rsidTr="000B2AD5">
        <w:tc>
          <w:tcPr>
            <w:tcW w:w="0" w:type="auto"/>
            <w:tcBorders>
              <w:top w:val="nil"/>
              <w:left w:val="nil"/>
              <w:bottom w:val="nil"/>
              <w:right w:val="nil"/>
            </w:tcBorders>
            <w:tcMar>
              <w:top w:w="0" w:type="dxa"/>
              <w:left w:w="108" w:type="dxa"/>
              <w:bottom w:w="0" w:type="dxa"/>
              <w:right w:w="108" w:type="dxa"/>
            </w:tcMar>
            <w:hideMark/>
          </w:tcPr>
          <w:p w14:paraId="528B1E71"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b/>
                <w:bCs/>
                <w:sz w:val="24"/>
                <w:szCs w:val="24"/>
                <w:lang w:eastAsia="es-CO"/>
              </w:rPr>
              <w:t>Tema</w:t>
            </w:r>
          </w:p>
        </w:tc>
        <w:tc>
          <w:tcPr>
            <w:tcW w:w="0" w:type="auto"/>
            <w:tcBorders>
              <w:top w:val="nil"/>
              <w:left w:val="nil"/>
              <w:bottom w:val="nil"/>
              <w:right w:val="nil"/>
            </w:tcBorders>
            <w:tcMar>
              <w:top w:w="0" w:type="dxa"/>
              <w:left w:w="108" w:type="dxa"/>
              <w:bottom w:w="0" w:type="dxa"/>
              <w:right w:w="108" w:type="dxa"/>
            </w:tcMar>
            <w:hideMark/>
          </w:tcPr>
          <w:p w14:paraId="3E1BC631"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tc>
        <w:tc>
          <w:tcPr>
            <w:tcW w:w="0" w:type="auto"/>
            <w:tcBorders>
              <w:top w:val="nil"/>
              <w:left w:val="nil"/>
              <w:bottom w:val="nil"/>
              <w:right w:val="nil"/>
            </w:tcBorders>
            <w:tcMar>
              <w:top w:w="0" w:type="dxa"/>
              <w:left w:w="108" w:type="dxa"/>
              <w:bottom w:w="0" w:type="dxa"/>
              <w:right w:w="108" w:type="dxa"/>
            </w:tcMar>
            <w:hideMark/>
          </w:tcPr>
          <w:p w14:paraId="4A8F2A48"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tc>
        <w:tc>
          <w:tcPr>
            <w:tcW w:w="0" w:type="auto"/>
            <w:tcBorders>
              <w:top w:val="nil"/>
              <w:left w:val="nil"/>
              <w:bottom w:val="nil"/>
              <w:right w:val="nil"/>
            </w:tcBorders>
            <w:tcMar>
              <w:top w:w="0" w:type="dxa"/>
              <w:left w:w="108" w:type="dxa"/>
              <w:bottom w:w="0" w:type="dxa"/>
              <w:right w:w="108" w:type="dxa"/>
            </w:tcMar>
            <w:hideMark/>
          </w:tcPr>
          <w:p w14:paraId="7155D5E2"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Procedimiento Tributario</w:t>
            </w:r>
          </w:p>
        </w:tc>
      </w:tr>
      <w:tr w:rsidR="000B2AD5" w:rsidRPr="000B2AD5" w14:paraId="5B4AFCE5" w14:textId="77777777" w:rsidTr="000B2AD5">
        <w:tc>
          <w:tcPr>
            <w:tcW w:w="0" w:type="auto"/>
            <w:tcBorders>
              <w:top w:val="nil"/>
              <w:left w:val="nil"/>
              <w:bottom w:val="nil"/>
              <w:right w:val="nil"/>
            </w:tcBorders>
            <w:tcMar>
              <w:top w:w="0" w:type="dxa"/>
              <w:left w:w="108" w:type="dxa"/>
              <w:bottom w:w="0" w:type="dxa"/>
              <w:right w:w="108" w:type="dxa"/>
            </w:tcMar>
            <w:hideMark/>
          </w:tcPr>
          <w:p w14:paraId="343176AC"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b/>
                <w:bCs/>
                <w:sz w:val="24"/>
                <w:szCs w:val="24"/>
                <w:lang w:eastAsia="es-CO"/>
              </w:rPr>
              <w:t>Descriptores</w:t>
            </w:r>
          </w:p>
          <w:p w14:paraId="68A275DB"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tc>
        <w:tc>
          <w:tcPr>
            <w:tcW w:w="0" w:type="auto"/>
            <w:tcBorders>
              <w:top w:val="nil"/>
              <w:left w:val="nil"/>
              <w:bottom w:val="nil"/>
              <w:right w:val="nil"/>
            </w:tcBorders>
            <w:tcMar>
              <w:top w:w="0" w:type="dxa"/>
              <w:left w:w="108" w:type="dxa"/>
              <w:bottom w:w="0" w:type="dxa"/>
              <w:right w:w="108" w:type="dxa"/>
            </w:tcMar>
            <w:hideMark/>
          </w:tcPr>
          <w:p w14:paraId="3B903670"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tc>
        <w:tc>
          <w:tcPr>
            <w:tcW w:w="0" w:type="auto"/>
            <w:tcBorders>
              <w:top w:val="nil"/>
              <w:left w:val="nil"/>
              <w:bottom w:val="nil"/>
              <w:right w:val="nil"/>
            </w:tcBorders>
            <w:tcMar>
              <w:top w:w="0" w:type="dxa"/>
              <w:left w:w="108" w:type="dxa"/>
              <w:bottom w:w="0" w:type="dxa"/>
              <w:right w:w="108" w:type="dxa"/>
            </w:tcMar>
            <w:hideMark/>
          </w:tcPr>
          <w:p w14:paraId="26854566"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tc>
        <w:tc>
          <w:tcPr>
            <w:tcW w:w="0" w:type="auto"/>
            <w:tcBorders>
              <w:top w:val="nil"/>
              <w:left w:val="nil"/>
              <w:bottom w:val="nil"/>
              <w:right w:val="nil"/>
            </w:tcBorders>
            <w:tcMar>
              <w:top w:w="0" w:type="dxa"/>
              <w:left w:w="108" w:type="dxa"/>
              <w:bottom w:w="0" w:type="dxa"/>
              <w:right w:w="108" w:type="dxa"/>
            </w:tcMar>
            <w:hideMark/>
          </w:tcPr>
          <w:p w14:paraId="61C4244F"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Anticipo del Impuesto Sobre la Renta y Complementarios</w:t>
            </w:r>
          </w:p>
          <w:p w14:paraId="3CB1C4C3"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Anticipo del Impuesto Sobre la Renta y Complementarios</w:t>
            </w:r>
          </w:p>
          <w:p w14:paraId="0AD6536C"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Calculo</w:t>
            </w:r>
          </w:p>
        </w:tc>
      </w:tr>
      <w:tr w:rsidR="000B2AD5" w:rsidRPr="000B2AD5" w14:paraId="4CABB033" w14:textId="77777777" w:rsidTr="000B2AD5">
        <w:tc>
          <w:tcPr>
            <w:tcW w:w="0" w:type="auto"/>
            <w:tcBorders>
              <w:top w:val="nil"/>
              <w:left w:val="nil"/>
              <w:bottom w:val="nil"/>
              <w:right w:val="nil"/>
            </w:tcBorders>
            <w:tcMar>
              <w:top w:w="0" w:type="dxa"/>
              <w:left w:w="108" w:type="dxa"/>
              <w:bottom w:w="0" w:type="dxa"/>
              <w:right w:w="108" w:type="dxa"/>
            </w:tcMar>
            <w:hideMark/>
          </w:tcPr>
          <w:p w14:paraId="66D4D2E7"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b/>
                <w:bCs/>
                <w:sz w:val="24"/>
                <w:szCs w:val="24"/>
                <w:lang w:eastAsia="es-CO"/>
              </w:rPr>
              <w:t>Fuentes formales</w:t>
            </w:r>
          </w:p>
          <w:p w14:paraId="0DABCF79"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tc>
        <w:tc>
          <w:tcPr>
            <w:tcW w:w="0" w:type="auto"/>
            <w:tcBorders>
              <w:top w:val="nil"/>
              <w:left w:val="nil"/>
              <w:bottom w:val="nil"/>
              <w:right w:val="nil"/>
            </w:tcBorders>
            <w:tcMar>
              <w:top w:w="0" w:type="dxa"/>
              <w:left w:w="108" w:type="dxa"/>
              <w:bottom w:w="0" w:type="dxa"/>
              <w:right w:w="108" w:type="dxa"/>
            </w:tcMar>
            <w:hideMark/>
          </w:tcPr>
          <w:p w14:paraId="1343097C"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tc>
        <w:tc>
          <w:tcPr>
            <w:tcW w:w="0" w:type="auto"/>
            <w:tcBorders>
              <w:top w:val="nil"/>
              <w:left w:val="nil"/>
              <w:bottom w:val="nil"/>
              <w:right w:val="nil"/>
            </w:tcBorders>
            <w:tcMar>
              <w:top w:w="0" w:type="dxa"/>
              <w:left w:w="108" w:type="dxa"/>
              <w:bottom w:w="0" w:type="dxa"/>
              <w:right w:w="108" w:type="dxa"/>
            </w:tcMar>
            <w:hideMark/>
          </w:tcPr>
          <w:p w14:paraId="0DCF9A30"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tc>
        <w:tc>
          <w:tcPr>
            <w:tcW w:w="0" w:type="auto"/>
            <w:tcBorders>
              <w:top w:val="nil"/>
              <w:left w:val="nil"/>
              <w:bottom w:val="nil"/>
              <w:right w:val="nil"/>
            </w:tcBorders>
            <w:tcMar>
              <w:top w:w="0" w:type="dxa"/>
              <w:left w:w="108" w:type="dxa"/>
              <w:bottom w:w="0" w:type="dxa"/>
              <w:right w:w="108" w:type="dxa"/>
            </w:tcMar>
            <w:hideMark/>
          </w:tcPr>
          <w:p w14:paraId="705AE97E"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Artículo 807 del Estatuto Tributario.</w:t>
            </w:r>
          </w:p>
          <w:p w14:paraId="6ABC809B"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Artículos 1.2.6.6. a 1.2.6.11. del Decreto 1625 de 2016.</w:t>
            </w:r>
          </w:p>
          <w:p w14:paraId="5C9EA1A2"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Concepto No. 053751 del 2 de julio de 1997</w:t>
            </w:r>
          </w:p>
        </w:tc>
      </w:tr>
    </w:tbl>
    <w:p w14:paraId="71936107"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p w14:paraId="3DFE34D7"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p w14:paraId="5C3DFA24"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color w:val="000000"/>
          <w:sz w:val="24"/>
          <w:szCs w:val="24"/>
          <w:lang w:eastAsia="es-CO"/>
        </w:rPr>
        <w:t>Cordial saludo, señor Cabrera.</w:t>
      </w:r>
    </w:p>
    <w:p w14:paraId="50B20F58"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p w14:paraId="5A037BC2"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color w:val="000000"/>
          <w:sz w:val="24"/>
          <w:szCs w:val="24"/>
          <w:lang w:eastAsia="es-CO"/>
        </w:rPr>
        <w:t xml:space="preserve">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w:t>
      </w:r>
      <w:r w:rsidRPr="000B2AD5">
        <w:rPr>
          <w:rFonts w:ascii="Arial" w:eastAsia="Times New Roman" w:hAnsi="Arial" w:cs="Arial"/>
          <w:color w:val="000000"/>
          <w:sz w:val="24"/>
          <w:szCs w:val="24"/>
          <w:lang w:eastAsia="es-CO"/>
        </w:rPr>
        <w:lastRenderedPageBreak/>
        <w:t>Por consiguiente, no corresponde a este Despacho, en ejercicio de las funciones descritas anteriormente, prestar asesoría específica para atender casos particulares, ni juzgar o calificar las decisiones tomadas por otras dependencias o entidades.</w:t>
      </w:r>
    </w:p>
    <w:p w14:paraId="52AFA4AE"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p w14:paraId="374D93EF"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color w:val="000000"/>
          <w:sz w:val="24"/>
          <w:szCs w:val="24"/>
          <w:lang w:eastAsia="es-CO"/>
        </w:rPr>
        <w:t>Mediante el radicado de la referencia, el peticionario consulta si:</w:t>
      </w:r>
    </w:p>
    <w:p w14:paraId="363100CE"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p w14:paraId="10F8B588" w14:textId="77777777" w:rsidR="000B2AD5" w:rsidRPr="000B2AD5" w:rsidRDefault="000B2AD5" w:rsidP="000B2AD5">
      <w:pPr>
        <w:spacing w:before="100" w:beforeAutospacing="1" w:after="100" w:afterAutospacing="1" w:line="240" w:lineRule="auto"/>
        <w:ind w:left="285"/>
        <w:jc w:val="both"/>
        <w:rPr>
          <w:rFonts w:ascii="Arial" w:eastAsia="Times New Roman" w:hAnsi="Arial" w:cs="Arial"/>
          <w:sz w:val="24"/>
          <w:szCs w:val="24"/>
          <w:lang w:eastAsia="es-CO"/>
        </w:rPr>
      </w:pPr>
      <w:r w:rsidRPr="000B2AD5">
        <w:rPr>
          <w:rFonts w:ascii="Arial" w:eastAsia="Times New Roman" w:hAnsi="Arial" w:cs="Arial"/>
          <w:i/>
          <w:iCs/>
          <w:color w:val="000000"/>
          <w:sz w:val="24"/>
          <w:szCs w:val="24"/>
          <w:lang w:eastAsia="es-CO"/>
        </w:rPr>
        <w:t>De acuerdo con el artículo 807 del Estatuto Tributario, la base del anticipo se puede calcular con el promedio del impuesto neto de renta de los dos (2) últimos años. ¿Es posible (SÍ o NO) descontar del promedio anterior las autorretenciones especiales en renta contempladas en la Ley 1819 de 2016?</w:t>
      </w:r>
    </w:p>
    <w:p w14:paraId="3058DBF4"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p w14:paraId="5BFAE64C"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color w:val="000000"/>
          <w:sz w:val="24"/>
          <w:szCs w:val="24"/>
          <w:lang w:eastAsia="es-CO"/>
        </w:rPr>
        <w:t>Sobre el particular, las consideraciones de este Despacho son las siguientes:</w:t>
      </w:r>
    </w:p>
    <w:p w14:paraId="4361D677"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p w14:paraId="1B6D5971"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color w:val="000000"/>
          <w:sz w:val="24"/>
          <w:szCs w:val="24"/>
          <w:lang w:eastAsia="es-CO"/>
        </w:rPr>
        <w:t>El artículo 807 del Estatuto Tributario establece de la siguiente forma el cálculo y aplicación del anticipo del impuesto sobre la renta y complementarios:</w:t>
      </w:r>
    </w:p>
    <w:p w14:paraId="4D0CFF18"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p w14:paraId="06A31AA8" w14:textId="77777777" w:rsidR="000B2AD5" w:rsidRPr="000B2AD5" w:rsidRDefault="000B2AD5" w:rsidP="000B2AD5">
      <w:pPr>
        <w:spacing w:before="100" w:beforeAutospacing="1" w:after="100" w:afterAutospacing="1" w:line="240" w:lineRule="auto"/>
        <w:ind w:left="285"/>
        <w:jc w:val="both"/>
        <w:rPr>
          <w:rFonts w:ascii="Arial" w:eastAsia="Times New Roman" w:hAnsi="Arial" w:cs="Arial"/>
          <w:sz w:val="24"/>
          <w:szCs w:val="24"/>
          <w:lang w:eastAsia="es-CO"/>
        </w:rPr>
      </w:pPr>
      <w:r w:rsidRPr="000B2AD5">
        <w:rPr>
          <w:rFonts w:ascii="Arial" w:eastAsia="Times New Roman" w:hAnsi="Arial" w:cs="Arial"/>
          <w:b/>
          <w:bCs/>
          <w:i/>
          <w:iCs/>
          <w:color w:val="000000"/>
          <w:sz w:val="24"/>
          <w:szCs w:val="24"/>
          <w:lang w:eastAsia="es-CO"/>
        </w:rPr>
        <w:t>“Artículo 807. CÁLCULO Y APLICACIÓN DEL ANTICIPO.</w:t>
      </w:r>
      <w:r w:rsidRPr="000B2AD5">
        <w:rPr>
          <w:rFonts w:ascii="Arial" w:eastAsia="Times New Roman" w:hAnsi="Arial" w:cs="Arial"/>
          <w:i/>
          <w:iCs/>
          <w:color w:val="000000"/>
          <w:sz w:val="24"/>
          <w:szCs w:val="24"/>
          <w:lang w:eastAsia="es-CO"/>
        </w:rPr>
        <w:t> Los contribuyentes del impuesto sobre la renta están obligados a pagar un setenta y cinco por ciento (75%) del impuesto de renta y </w:t>
      </w:r>
      <w:r w:rsidRPr="000B2AD5">
        <w:rPr>
          <w:rFonts w:ascii="Arial" w:eastAsia="Times New Roman" w:hAnsi="Arial" w:cs="Arial"/>
          <w:i/>
          <w:iCs/>
          <w:color w:val="000000"/>
          <w:sz w:val="24"/>
          <w:szCs w:val="24"/>
          <w:u w:val="single"/>
          <w:lang w:eastAsia="es-CO"/>
        </w:rPr>
        <w:t>del complementario de patrimonio,</w:t>
      </w:r>
      <w:r w:rsidRPr="000B2AD5">
        <w:rPr>
          <w:rFonts w:ascii="Arial" w:eastAsia="Times New Roman" w:hAnsi="Arial" w:cs="Arial"/>
          <w:i/>
          <w:iCs/>
          <w:color w:val="000000"/>
          <w:sz w:val="24"/>
          <w:szCs w:val="24"/>
          <w:lang w:eastAsia="es-CO"/>
        </w:rPr>
        <w:t> determinado en su liquidación privada, a título de anticipo del impuesto de renta del año siguiente al gravable.</w:t>
      </w:r>
    </w:p>
    <w:p w14:paraId="3A4257D4" w14:textId="77777777" w:rsidR="000B2AD5" w:rsidRPr="000B2AD5" w:rsidRDefault="000B2AD5" w:rsidP="000B2AD5">
      <w:pPr>
        <w:spacing w:before="100" w:beforeAutospacing="1" w:after="100" w:afterAutospacing="1" w:line="240" w:lineRule="auto"/>
        <w:ind w:left="285"/>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p w14:paraId="1E302DB8" w14:textId="77777777" w:rsidR="000B2AD5" w:rsidRPr="000B2AD5" w:rsidRDefault="000B2AD5" w:rsidP="000B2AD5">
      <w:pPr>
        <w:spacing w:before="100" w:beforeAutospacing="1" w:after="100" w:afterAutospacing="1" w:line="240" w:lineRule="auto"/>
        <w:ind w:left="285"/>
        <w:jc w:val="both"/>
        <w:rPr>
          <w:rFonts w:ascii="Arial" w:eastAsia="Times New Roman" w:hAnsi="Arial" w:cs="Arial"/>
          <w:sz w:val="24"/>
          <w:szCs w:val="24"/>
          <w:lang w:eastAsia="es-CO"/>
        </w:rPr>
      </w:pPr>
      <w:r w:rsidRPr="000B2AD5">
        <w:rPr>
          <w:rFonts w:ascii="Arial" w:eastAsia="Times New Roman" w:hAnsi="Arial" w:cs="Arial"/>
          <w:i/>
          <w:iCs/>
          <w:color w:val="000000"/>
          <w:sz w:val="24"/>
          <w:szCs w:val="24"/>
          <w:lang w:eastAsia="es-CO"/>
        </w:rPr>
        <w:t>Para determinar la base del anticipo, al impuesto neto de renta y </w:t>
      </w:r>
      <w:r w:rsidRPr="000B2AD5">
        <w:rPr>
          <w:rFonts w:ascii="Arial" w:eastAsia="Times New Roman" w:hAnsi="Arial" w:cs="Arial"/>
          <w:i/>
          <w:iCs/>
          <w:color w:val="000000"/>
          <w:sz w:val="24"/>
          <w:szCs w:val="24"/>
          <w:u w:val="single"/>
          <w:lang w:eastAsia="es-CO"/>
        </w:rPr>
        <w:t>al complementario de patrimonio</w:t>
      </w:r>
      <w:r w:rsidRPr="000B2AD5">
        <w:rPr>
          <w:rFonts w:ascii="Arial" w:eastAsia="Times New Roman" w:hAnsi="Arial" w:cs="Arial"/>
          <w:i/>
          <w:iCs/>
          <w:color w:val="000000"/>
          <w:sz w:val="24"/>
          <w:szCs w:val="24"/>
          <w:lang w:eastAsia="es-CO"/>
        </w:rPr>
        <w:t> del año gravable, o al promedio de los dos (2) últimos años a opción del contribuyente, se aplica el porcentaje previsto en el inciso anterior. Del resultado así obtenido se descuenta el valor de la retención en la fuente correspondiente al respectivo ejercicio fiscal, con lo cual se obtiene el anticipo a pagar.</w:t>
      </w:r>
    </w:p>
    <w:p w14:paraId="3956AD2F" w14:textId="77777777" w:rsidR="000B2AD5" w:rsidRPr="000B2AD5" w:rsidRDefault="000B2AD5" w:rsidP="000B2AD5">
      <w:pPr>
        <w:spacing w:before="100" w:beforeAutospacing="1" w:after="100" w:afterAutospacing="1" w:line="240" w:lineRule="auto"/>
        <w:ind w:left="285"/>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p w14:paraId="4D3EA689" w14:textId="77777777" w:rsidR="000B2AD5" w:rsidRPr="000B2AD5" w:rsidRDefault="000B2AD5" w:rsidP="000B2AD5">
      <w:pPr>
        <w:spacing w:before="100" w:beforeAutospacing="1" w:after="100" w:afterAutospacing="1" w:line="240" w:lineRule="auto"/>
        <w:ind w:left="285"/>
        <w:jc w:val="both"/>
        <w:rPr>
          <w:rFonts w:ascii="Arial" w:eastAsia="Times New Roman" w:hAnsi="Arial" w:cs="Arial"/>
          <w:sz w:val="24"/>
          <w:szCs w:val="24"/>
          <w:lang w:eastAsia="es-CO"/>
        </w:rPr>
      </w:pPr>
      <w:r w:rsidRPr="000B2AD5">
        <w:rPr>
          <w:rFonts w:ascii="Arial" w:eastAsia="Times New Roman" w:hAnsi="Arial" w:cs="Arial"/>
          <w:i/>
          <w:iCs/>
          <w:color w:val="000000"/>
          <w:sz w:val="24"/>
          <w:szCs w:val="24"/>
          <w:lang w:eastAsia="es-CO"/>
        </w:rPr>
        <w:t xml:space="preserve">En el caso de contribuyentes que declaran por primera vez, el porcentaje de anticipo de que trata este artículo será del veinticinco por ciento (25%) para el </w:t>
      </w:r>
      <w:r w:rsidRPr="000B2AD5">
        <w:rPr>
          <w:rFonts w:ascii="Arial" w:eastAsia="Times New Roman" w:hAnsi="Arial" w:cs="Arial"/>
          <w:i/>
          <w:iCs/>
          <w:color w:val="000000"/>
          <w:sz w:val="24"/>
          <w:szCs w:val="24"/>
          <w:lang w:eastAsia="es-CO"/>
        </w:rPr>
        <w:lastRenderedPageBreak/>
        <w:t>primer año, cincuenta por ciento (50%) para el segundo año y setenta y cinco por ciento (75%) para los años siguientes.</w:t>
      </w:r>
    </w:p>
    <w:p w14:paraId="7787B407" w14:textId="77777777" w:rsidR="000B2AD5" w:rsidRPr="000B2AD5" w:rsidRDefault="000B2AD5" w:rsidP="000B2AD5">
      <w:pPr>
        <w:spacing w:before="100" w:beforeAutospacing="1" w:after="100" w:afterAutospacing="1" w:line="240" w:lineRule="auto"/>
        <w:ind w:left="285"/>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p w14:paraId="2C125DB7" w14:textId="77777777" w:rsidR="000B2AD5" w:rsidRPr="000B2AD5" w:rsidRDefault="000B2AD5" w:rsidP="000B2AD5">
      <w:pPr>
        <w:spacing w:before="100" w:beforeAutospacing="1" w:after="100" w:afterAutospacing="1" w:line="240" w:lineRule="auto"/>
        <w:ind w:left="285"/>
        <w:jc w:val="both"/>
        <w:rPr>
          <w:rFonts w:ascii="Arial" w:eastAsia="Times New Roman" w:hAnsi="Arial" w:cs="Arial"/>
          <w:sz w:val="24"/>
          <w:szCs w:val="24"/>
          <w:lang w:eastAsia="es-CO"/>
        </w:rPr>
      </w:pPr>
      <w:r w:rsidRPr="000B2AD5">
        <w:rPr>
          <w:rFonts w:ascii="Arial" w:eastAsia="Times New Roman" w:hAnsi="Arial" w:cs="Arial"/>
          <w:i/>
          <w:iCs/>
          <w:color w:val="000000"/>
          <w:sz w:val="24"/>
          <w:szCs w:val="24"/>
          <w:lang w:eastAsia="es-CO"/>
        </w:rPr>
        <w:t>En las respectivas liquidaciones privadas del impuesto sobre la renta y complementarios los contribuyentes agregarán al total liquidado el valor del anticipo. Del resultado anterior deducirán el valor del anticipo consignado de acuerdo con la liquidación del año o período gravable inmediatamente anterior, el valor retenido en la fuente y el saldo a favor del período anterior, cuando fuere del caso. La diferencia se cancelará en la proporción y dentro de los términos señalados para el pago de la liquidación privada.”</w:t>
      </w:r>
      <w:r w:rsidRPr="000B2AD5">
        <w:rPr>
          <w:rFonts w:ascii="Arial" w:eastAsia="Times New Roman" w:hAnsi="Arial" w:cs="Arial"/>
          <w:color w:val="000000"/>
          <w:sz w:val="24"/>
          <w:szCs w:val="24"/>
          <w:lang w:eastAsia="es-CO"/>
        </w:rPr>
        <w:t> (Los textos subrayados perdieron vigencia a partir del año gravable de 1992, de conformidad con el Decreto 1321 de 1989)</w:t>
      </w:r>
    </w:p>
    <w:p w14:paraId="57A201FB"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p w14:paraId="7D32E57A"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color w:val="000000"/>
          <w:sz w:val="24"/>
          <w:szCs w:val="24"/>
          <w:lang w:eastAsia="es-CO"/>
        </w:rPr>
        <w:t>Teniendo en cuenta la anterior disposición normativa, y respecto a la consulta del peticionario, la respuesta es afirmativa. Esto es, la noción de retención en la fuente para efectos del artículo 807 del Estatuto Tributario </w:t>
      </w:r>
      <w:r w:rsidRPr="000B2AD5">
        <w:rPr>
          <w:rFonts w:ascii="Arial" w:eastAsia="Times New Roman" w:hAnsi="Arial" w:cs="Arial"/>
          <w:b/>
          <w:bCs/>
          <w:color w:val="000000"/>
          <w:sz w:val="24"/>
          <w:szCs w:val="24"/>
          <w:lang w:eastAsia="es-CO"/>
        </w:rPr>
        <w:t>incluye tanto las retenciones practicadas al contribuyente como las autorretenciones, </w:t>
      </w:r>
      <w:r w:rsidRPr="000B2AD5">
        <w:rPr>
          <w:rFonts w:ascii="Arial" w:eastAsia="Times New Roman" w:hAnsi="Arial" w:cs="Arial"/>
          <w:color w:val="000000"/>
          <w:sz w:val="24"/>
          <w:szCs w:val="24"/>
          <w:lang w:eastAsia="es-CO"/>
        </w:rPr>
        <w:t>pues ambas tienen por objeto el recaudo del impuesto, en los términos del artículo 367 del Estatuto Tributario.</w:t>
      </w:r>
    </w:p>
    <w:p w14:paraId="249A7DB8"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p w14:paraId="55D5D42F"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color w:val="000000"/>
          <w:sz w:val="24"/>
          <w:szCs w:val="24"/>
          <w:lang w:eastAsia="es-CO"/>
        </w:rPr>
        <w:t>Sobre el particular, la doctrina (Concepto No. 053751 del 2 de julio de 1997) ha señalado:</w:t>
      </w:r>
    </w:p>
    <w:p w14:paraId="0739EED6"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p w14:paraId="548C4076" w14:textId="77777777" w:rsidR="000B2AD5" w:rsidRPr="000B2AD5" w:rsidRDefault="000B2AD5" w:rsidP="000B2AD5">
      <w:pPr>
        <w:spacing w:before="100" w:beforeAutospacing="1" w:after="100" w:afterAutospacing="1" w:line="240" w:lineRule="auto"/>
        <w:ind w:left="285"/>
        <w:jc w:val="both"/>
        <w:rPr>
          <w:rFonts w:ascii="Arial" w:eastAsia="Times New Roman" w:hAnsi="Arial" w:cs="Arial"/>
          <w:sz w:val="24"/>
          <w:szCs w:val="24"/>
          <w:lang w:eastAsia="es-CO"/>
        </w:rPr>
      </w:pPr>
      <w:r w:rsidRPr="000B2AD5">
        <w:rPr>
          <w:rFonts w:ascii="Arial" w:eastAsia="Times New Roman" w:hAnsi="Arial" w:cs="Arial"/>
          <w:i/>
          <w:iCs/>
          <w:color w:val="000000"/>
          <w:sz w:val="24"/>
          <w:szCs w:val="24"/>
          <w:lang w:eastAsia="es-CO"/>
        </w:rPr>
        <w:t>"(...)</w:t>
      </w:r>
    </w:p>
    <w:p w14:paraId="2391DBF7" w14:textId="77777777" w:rsidR="000B2AD5" w:rsidRPr="000B2AD5" w:rsidRDefault="000B2AD5" w:rsidP="000B2AD5">
      <w:pPr>
        <w:spacing w:before="100" w:beforeAutospacing="1" w:after="100" w:afterAutospacing="1" w:line="240" w:lineRule="auto"/>
        <w:ind w:left="285"/>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p w14:paraId="2DB05831" w14:textId="77777777" w:rsidR="000B2AD5" w:rsidRPr="000B2AD5" w:rsidRDefault="000B2AD5" w:rsidP="000B2AD5">
      <w:pPr>
        <w:spacing w:before="100" w:beforeAutospacing="1" w:after="100" w:afterAutospacing="1" w:line="240" w:lineRule="auto"/>
        <w:ind w:left="285"/>
        <w:jc w:val="both"/>
        <w:rPr>
          <w:rFonts w:ascii="Arial" w:eastAsia="Times New Roman" w:hAnsi="Arial" w:cs="Arial"/>
          <w:sz w:val="24"/>
          <w:szCs w:val="24"/>
          <w:lang w:eastAsia="es-CO"/>
        </w:rPr>
      </w:pPr>
      <w:r w:rsidRPr="000B2AD5">
        <w:rPr>
          <w:rFonts w:ascii="Arial" w:eastAsia="Times New Roman" w:hAnsi="Arial" w:cs="Arial"/>
          <w:i/>
          <w:iCs/>
          <w:color w:val="000000"/>
          <w:sz w:val="24"/>
          <w:szCs w:val="24"/>
          <w:lang w:eastAsia="es-CO"/>
        </w:rPr>
        <w:t>1. La retención en la fuente es un instrumento fiscal encaminado a recaudar el impuesto sobre la renta en el mismo período en que se cause (Art. 367 del Estatuto Tributario), que supone en general la existencia de un ingreso tributario pagado o abonado en cuenta por un agente retenedor en favor de un contribuyente del impuesto.</w:t>
      </w:r>
    </w:p>
    <w:p w14:paraId="613411E3" w14:textId="77777777" w:rsidR="000B2AD5" w:rsidRPr="000B2AD5" w:rsidRDefault="000B2AD5" w:rsidP="000B2AD5">
      <w:pPr>
        <w:spacing w:before="100" w:beforeAutospacing="1" w:after="100" w:afterAutospacing="1" w:line="240" w:lineRule="auto"/>
        <w:ind w:left="285"/>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p w14:paraId="259F1340" w14:textId="77777777" w:rsidR="000B2AD5" w:rsidRPr="000B2AD5" w:rsidRDefault="000B2AD5" w:rsidP="000B2AD5">
      <w:pPr>
        <w:spacing w:before="100" w:beforeAutospacing="1" w:after="100" w:afterAutospacing="1" w:line="240" w:lineRule="auto"/>
        <w:ind w:left="285"/>
        <w:jc w:val="both"/>
        <w:rPr>
          <w:rFonts w:ascii="Arial" w:eastAsia="Times New Roman" w:hAnsi="Arial" w:cs="Arial"/>
          <w:sz w:val="24"/>
          <w:szCs w:val="24"/>
          <w:lang w:eastAsia="es-CO"/>
        </w:rPr>
      </w:pPr>
      <w:r w:rsidRPr="000B2AD5">
        <w:rPr>
          <w:rFonts w:ascii="Arial" w:eastAsia="Times New Roman" w:hAnsi="Arial" w:cs="Arial"/>
          <w:i/>
          <w:iCs/>
          <w:color w:val="000000"/>
          <w:sz w:val="24"/>
          <w:szCs w:val="24"/>
          <w:lang w:eastAsia="es-CO"/>
        </w:rPr>
        <w:t>En ciertos casos la legislación </w:t>
      </w:r>
      <w:r w:rsidRPr="000B2AD5">
        <w:rPr>
          <w:rFonts w:ascii="Arial" w:eastAsia="Times New Roman" w:hAnsi="Arial" w:cs="Arial"/>
          <w:b/>
          <w:bCs/>
          <w:i/>
          <w:iCs/>
          <w:color w:val="000000"/>
          <w:sz w:val="24"/>
          <w:szCs w:val="24"/>
          <w:lang w:eastAsia="es-CO"/>
        </w:rPr>
        <w:t>autoriza que el contribuyente beneficiario del ingreso actúe como agente autorretenedor.</w:t>
      </w:r>
      <w:r w:rsidRPr="000B2AD5">
        <w:rPr>
          <w:rFonts w:ascii="Arial" w:eastAsia="Times New Roman" w:hAnsi="Arial" w:cs="Arial"/>
          <w:i/>
          <w:iCs/>
          <w:color w:val="000000"/>
          <w:sz w:val="24"/>
          <w:szCs w:val="24"/>
          <w:lang w:eastAsia="es-CO"/>
        </w:rPr>
        <w:t> (Art. 1o. Decreto 700/97).</w:t>
      </w:r>
    </w:p>
    <w:p w14:paraId="62B2334C" w14:textId="77777777" w:rsidR="000B2AD5" w:rsidRPr="000B2AD5" w:rsidRDefault="000B2AD5" w:rsidP="000B2AD5">
      <w:pPr>
        <w:spacing w:before="100" w:beforeAutospacing="1" w:after="100" w:afterAutospacing="1" w:line="240" w:lineRule="auto"/>
        <w:ind w:left="285"/>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lastRenderedPageBreak/>
        <w:t> </w:t>
      </w:r>
    </w:p>
    <w:p w14:paraId="6966DB86" w14:textId="77777777" w:rsidR="000B2AD5" w:rsidRPr="000B2AD5" w:rsidRDefault="000B2AD5" w:rsidP="000B2AD5">
      <w:pPr>
        <w:spacing w:before="100" w:beforeAutospacing="1" w:after="100" w:afterAutospacing="1" w:line="240" w:lineRule="auto"/>
        <w:ind w:left="285"/>
        <w:jc w:val="both"/>
        <w:rPr>
          <w:rFonts w:ascii="Arial" w:eastAsia="Times New Roman" w:hAnsi="Arial" w:cs="Arial"/>
          <w:sz w:val="24"/>
          <w:szCs w:val="24"/>
          <w:lang w:eastAsia="es-CO"/>
        </w:rPr>
      </w:pPr>
      <w:r w:rsidRPr="000B2AD5">
        <w:rPr>
          <w:rFonts w:ascii="Arial" w:eastAsia="Times New Roman" w:hAnsi="Arial" w:cs="Arial"/>
          <w:i/>
          <w:iCs/>
          <w:color w:val="000000"/>
          <w:sz w:val="24"/>
          <w:szCs w:val="24"/>
          <w:lang w:eastAsia="es-CO"/>
        </w:rPr>
        <w:t>2.. La Ley vigente y sus normas reglamentarias señalan las personas o entidades que tienen la calidad de agentes de retención </w:t>
      </w:r>
      <w:r w:rsidRPr="000B2AD5">
        <w:rPr>
          <w:rFonts w:ascii="Arial" w:eastAsia="Times New Roman" w:hAnsi="Arial" w:cs="Arial"/>
          <w:b/>
          <w:bCs/>
          <w:i/>
          <w:iCs/>
          <w:color w:val="000000"/>
          <w:sz w:val="24"/>
          <w:szCs w:val="24"/>
          <w:lang w:eastAsia="es-CO"/>
        </w:rPr>
        <w:t>o autorretención</w:t>
      </w:r>
      <w:r w:rsidRPr="000B2AD5">
        <w:rPr>
          <w:rFonts w:ascii="Arial" w:eastAsia="Times New Roman" w:hAnsi="Arial" w:cs="Arial"/>
          <w:i/>
          <w:iCs/>
          <w:color w:val="000000"/>
          <w:sz w:val="24"/>
          <w:szCs w:val="24"/>
          <w:lang w:eastAsia="es-CO"/>
        </w:rPr>
        <w:t> (Art. 368 parágrafo 1o. del Estatuto Tributario y demás normas reglamentarias), </w:t>
      </w:r>
      <w:r w:rsidRPr="000B2AD5">
        <w:rPr>
          <w:rFonts w:ascii="Arial" w:eastAsia="Times New Roman" w:hAnsi="Arial" w:cs="Arial"/>
          <w:b/>
          <w:bCs/>
          <w:i/>
          <w:iCs/>
          <w:color w:val="000000"/>
          <w:sz w:val="24"/>
          <w:szCs w:val="24"/>
          <w:lang w:eastAsia="es-CO"/>
        </w:rPr>
        <w:t>así como los conceptos, base y tarifas de la retención en la fuente.</w:t>
      </w:r>
      <w:r w:rsidRPr="000B2AD5">
        <w:rPr>
          <w:rFonts w:ascii="Arial" w:eastAsia="Times New Roman" w:hAnsi="Arial" w:cs="Arial"/>
          <w:i/>
          <w:iCs/>
          <w:color w:val="000000"/>
          <w:sz w:val="24"/>
          <w:szCs w:val="24"/>
          <w:lang w:eastAsia="es-CO"/>
        </w:rPr>
        <w:t> (...)”</w:t>
      </w:r>
      <w:r w:rsidRPr="000B2AD5">
        <w:rPr>
          <w:rFonts w:ascii="Arial" w:eastAsia="Times New Roman" w:hAnsi="Arial" w:cs="Arial"/>
          <w:color w:val="000000"/>
          <w:sz w:val="24"/>
          <w:szCs w:val="24"/>
          <w:lang w:eastAsia="es-CO"/>
        </w:rPr>
        <w:t> (Negrilla fuera del texto).</w:t>
      </w:r>
    </w:p>
    <w:p w14:paraId="2A00999E"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p w14:paraId="7412187D"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color w:val="000000"/>
          <w:sz w:val="24"/>
          <w:szCs w:val="24"/>
          <w:lang w:eastAsia="es-CO"/>
        </w:rPr>
        <w:t>En ese sentido, el artículo 1.2.6.11. del Decreto 1625 de 2016, sobre la base para calcular esta autorretención, indica:</w:t>
      </w:r>
    </w:p>
    <w:p w14:paraId="7542684C"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p w14:paraId="0FA8133D" w14:textId="77777777" w:rsidR="000B2AD5" w:rsidRPr="000B2AD5" w:rsidRDefault="000B2AD5" w:rsidP="000B2AD5">
      <w:pPr>
        <w:spacing w:before="100" w:beforeAutospacing="1" w:after="100" w:afterAutospacing="1" w:line="240" w:lineRule="auto"/>
        <w:ind w:left="285"/>
        <w:jc w:val="both"/>
        <w:rPr>
          <w:rFonts w:ascii="Arial" w:eastAsia="Times New Roman" w:hAnsi="Arial" w:cs="Arial"/>
          <w:sz w:val="24"/>
          <w:szCs w:val="24"/>
          <w:lang w:eastAsia="es-CO"/>
        </w:rPr>
      </w:pPr>
      <w:r w:rsidRPr="000B2AD5">
        <w:rPr>
          <w:rFonts w:ascii="Arial" w:eastAsia="Times New Roman" w:hAnsi="Arial" w:cs="Arial"/>
          <w:i/>
          <w:iCs/>
          <w:color w:val="000000"/>
          <w:sz w:val="24"/>
          <w:szCs w:val="24"/>
          <w:lang w:eastAsia="es-CO"/>
        </w:rPr>
        <w:t>“</w:t>
      </w:r>
      <w:r w:rsidRPr="000B2AD5">
        <w:rPr>
          <w:rFonts w:ascii="Arial" w:eastAsia="Times New Roman" w:hAnsi="Arial" w:cs="Arial"/>
          <w:b/>
          <w:bCs/>
          <w:i/>
          <w:iCs/>
          <w:color w:val="000000"/>
          <w:sz w:val="24"/>
          <w:szCs w:val="24"/>
          <w:lang w:eastAsia="es-CO"/>
        </w:rPr>
        <w:t>Artículo 1.2.6.7.</w:t>
      </w:r>
      <w:r w:rsidRPr="000B2AD5">
        <w:rPr>
          <w:rFonts w:ascii="Arial" w:eastAsia="Times New Roman" w:hAnsi="Arial" w:cs="Arial"/>
          <w:i/>
          <w:iCs/>
          <w:color w:val="000000"/>
          <w:sz w:val="24"/>
          <w:szCs w:val="24"/>
          <w:lang w:eastAsia="es-CO"/>
        </w:rPr>
        <w:t> Bases para calcular la autorretención a título de impuesto sobre la renta y complementario de que trata el artículo 1.2.6.6. </w:t>
      </w:r>
      <w:r w:rsidRPr="000B2AD5">
        <w:rPr>
          <w:rFonts w:ascii="Arial" w:eastAsia="Times New Roman" w:hAnsi="Arial" w:cs="Arial"/>
          <w:b/>
          <w:bCs/>
          <w:i/>
          <w:iCs/>
          <w:color w:val="000000"/>
          <w:sz w:val="24"/>
          <w:szCs w:val="24"/>
          <w:lang w:eastAsia="es-CO"/>
        </w:rPr>
        <w:t>Las bases establecidas en las normas vigentes para calcular la retención del impuesto sobre la renta y complementario serán aplicables igualmente para practicar la autorretención a Título de este impuesto de que trata el artículo anterior</w:t>
      </w:r>
      <w:r w:rsidRPr="000B2AD5">
        <w:rPr>
          <w:rFonts w:ascii="Arial" w:eastAsia="Times New Roman" w:hAnsi="Arial" w:cs="Arial"/>
          <w:b/>
          <w:bCs/>
          <w:color w:val="000000"/>
          <w:sz w:val="24"/>
          <w:szCs w:val="24"/>
          <w:lang w:eastAsia="es-CO"/>
        </w:rPr>
        <w:t>.</w:t>
      </w:r>
    </w:p>
    <w:p w14:paraId="3DF6C6BB" w14:textId="77777777" w:rsidR="000B2AD5" w:rsidRPr="000B2AD5" w:rsidRDefault="000B2AD5" w:rsidP="000B2AD5">
      <w:pPr>
        <w:spacing w:before="100" w:beforeAutospacing="1" w:after="100" w:afterAutospacing="1" w:line="240" w:lineRule="auto"/>
        <w:ind w:left="285"/>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p w14:paraId="3F32B6EB" w14:textId="77777777" w:rsidR="000B2AD5" w:rsidRPr="000B2AD5" w:rsidRDefault="000B2AD5" w:rsidP="000B2AD5">
      <w:pPr>
        <w:spacing w:before="100" w:beforeAutospacing="1" w:after="100" w:afterAutospacing="1" w:line="240" w:lineRule="auto"/>
        <w:ind w:left="285"/>
        <w:jc w:val="both"/>
        <w:rPr>
          <w:rFonts w:ascii="Arial" w:eastAsia="Times New Roman" w:hAnsi="Arial" w:cs="Arial"/>
          <w:sz w:val="24"/>
          <w:szCs w:val="24"/>
          <w:lang w:eastAsia="es-CO"/>
        </w:rPr>
      </w:pPr>
      <w:r w:rsidRPr="000B2AD5">
        <w:rPr>
          <w:rFonts w:ascii="Arial" w:eastAsia="Times New Roman" w:hAnsi="Arial" w:cs="Arial"/>
          <w:i/>
          <w:iCs/>
          <w:color w:val="000000"/>
          <w:sz w:val="24"/>
          <w:szCs w:val="24"/>
          <w:lang w:eastAsia="es-CO"/>
        </w:rPr>
        <w:t xml:space="preserve">No </w:t>
      </w:r>
      <w:proofErr w:type="gramStart"/>
      <w:r w:rsidRPr="000B2AD5">
        <w:rPr>
          <w:rFonts w:ascii="Arial" w:eastAsia="Times New Roman" w:hAnsi="Arial" w:cs="Arial"/>
          <w:i/>
          <w:iCs/>
          <w:color w:val="000000"/>
          <w:sz w:val="24"/>
          <w:szCs w:val="24"/>
          <w:lang w:eastAsia="es-CO"/>
        </w:rPr>
        <w:t>obstante</w:t>
      </w:r>
      <w:proofErr w:type="gramEnd"/>
      <w:r w:rsidRPr="000B2AD5">
        <w:rPr>
          <w:rFonts w:ascii="Arial" w:eastAsia="Times New Roman" w:hAnsi="Arial" w:cs="Arial"/>
          <w:i/>
          <w:iCs/>
          <w:color w:val="000000"/>
          <w:sz w:val="24"/>
          <w:szCs w:val="24"/>
          <w:lang w:eastAsia="es-CO"/>
        </w:rPr>
        <w:t xml:space="preserve"> lo anterior, en los siguientes</w:t>
      </w:r>
      <w:r w:rsidRPr="000B2AD5">
        <w:rPr>
          <w:rFonts w:ascii="Arial" w:eastAsia="Times New Roman" w:hAnsi="Arial" w:cs="Arial"/>
          <w:color w:val="000000"/>
          <w:sz w:val="24"/>
          <w:szCs w:val="24"/>
          <w:lang w:eastAsia="es-CO"/>
        </w:rPr>
        <w:t> </w:t>
      </w:r>
      <w:r w:rsidRPr="000B2AD5">
        <w:rPr>
          <w:rFonts w:ascii="Arial" w:eastAsia="Times New Roman" w:hAnsi="Arial" w:cs="Arial"/>
          <w:i/>
          <w:iCs/>
          <w:color w:val="000000"/>
          <w:sz w:val="24"/>
          <w:szCs w:val="24"/>
          <w:lang w:eastAsia="es-CO"/>
        </w:rPr>
        <w:t>casos, la base de esta autorretención se efectuará de conformidad con las siguientes reglas: (...)” </w:t>
      </w:r>
      <w:r w:rsidRPr="000B2AD5">
        <w:rPr>
          <w:rFonts w:ascii="Arial" w:eastAsia="Times New Roman" w:hAnsi="Arial" w:cs="Arial"/>
          <w:color w:val="000000"/>
          <w:sz w:val="24"/>
          <w:szCs w:val="24"/>
          <w:lang w:eastAsia="es-CO"/>
        </w:rPr>
        <w:t>(Negrilla fuera del texto)</w:t>
      </w:r>
    </w:p>
    <w:p w14:paraId="17A03E0C"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p w14:paraId="797922AE"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color w:val="000000"/>
          <w:sz w:val="24"/>
          <w:szCs w:val="24"/>
          <w:lang w:eastAsia="es-CO"/>
        </w:rPr>
        <w:t>En ese orden de ideas, se concluye que es posible descontar los valores correspondientes por autorretención en los términos de los artículos 1.2.6.6. 1.2.6.11. del Decreto 1625 de 2016, para el cálculo del anticipo del impuesto sobre la renta.</w:t>
      </w:r>
    </w:p>
    <w:p w14:paraId="373462A0"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p w14:paraId="6FB85FE0"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color w:val="000000"/>
          <w:sz w:val="24"/>
          <w:szCs w:val="24"/>
          <w:lang w:eastAsia="es-CO"/>
        </w:rPr>
        <w:t>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 </w:t>
      </w:r>
      <w:hyperlink r:id="rId5" w:history="1">
        <w:r w:rsidRPr="000B2AD5">
          <w:rPr>
            <w:rFonts w:ascii="Arial" w:eastAsia="Times New Roman" w:hAnsi="Arial" w:cs="Arial"/>
            <w:color w:val="0563C1"/>
            <w:sz w:val="24"/>
            <w:szCs w:val="24"/>
            <w:lang w:eastAsia="es-CO"/>
          </w:rPr>
          <w:t>www.dian.gov.co</w:t>
        </w:r>
      </w:hyperlink>
      <w:r w:rsidRPr="000B2AD5">
        <w:rPr>
          <w:rFonts w:ascii="Arial" w:eastAsia="Times New Roman" w:hAnsi="Arial" w:cs="Arial"/>
          <w:color w:val="000000"/>
          <w:sz w:val="24"/>
          <w:szCs w:val="24"/>
          <w:lang w:eastAsia="es-CO"/>
        </w:rPr>
        <w:t xml:space="preserve">, la base de conceptos en materia tributaria, aduanera y Cambiaria expedidos desde el año 2001, la cual se puede ingresar por el ícono de “Normatividad” –“técnica”-, dando </w:t>
      </w:r>
      <w:proofErr w:type="spellStart"/>
      <w:r w:rsidRPr="000B2AD5">
        <w:rPr>
          <w:rFonts w:ascii="Arial" w:eastAsia="Times New Roman" w:hAnsi="Arial" w:cs="Arial"/>
          <w:color w:val="000000"/>
          <w:sz w:val="24"/>
          <w:szCs w:val="24"/>
          <w:lang w:eastAsia="es-CO"/>
        </w:rPr>
        <w:t>click</w:t>
      </w:r>
      <w:proofErr w:type="spellEnd"/>
      <w:r w:rsidRPr="000B2AD5">
        <w:rPr>
          <w:rFonts w:ascii="Arial" w:eastAsia="Times New Roman" w:hAnsi="Arial" w:cs="Arial"/>
          <w:color w:val="000000"/>
          <w:sz w:val="24"/>
          <w:szCs w:val="24"/>
          <w:lang w:eastAsia="es-CO"/>
        </w:rPr>
        <w:t xml:space="preserve"> en el link “Doctrina Dirección de Gestión Jurídica”.</w:t>
      </w:r>
    </w:p>
    <w:p w14:paraId="0F4306B8"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p w14:paraId="19657B84"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color w:val="000000"/>
          <w:sz w:val="24"/>
          <w:szCs w:val="24"/>
          <w:lang w:eastAsia="es-CO"/>
        </w:rPr>
        <w:lastRenderedPageBreak/>
        <w:t>Atentamente,</w:t>
      </w:r>
    </w:p>
    <w:p w14:paraId="6540330B"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p w14:paraId="6AF320C2"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sz w:val="24"/>
          <w:szCs w:val="24"/>
          <w:lang w:eastAsia="es-CO"/>
        </w:rPr>
        <w:t> </w:t>
      </w:r>
    </w:p>
    <w:p w14:paraId="0C3CA4AC"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b/>
          <w:bCs/>
          <w:color w:val="000000"/>
          <w:sz w:val="24"/>
          <w:szCs w:val="24"/>
          <w:lang w:eastAsia="es-CO"/>
        </w:rPr>
        <w:t>PABLO EMILIO MENDOZA VELILLA</w:t>
      </w:r>
    </w:p>
    <w:p w14:paraId="0D860712"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color w:val="000000"/>
          <w:sz w:val="24"/>
          <w:szCs w:val="24"/>
          <w:lang w:eastAsia="es-CO"/>
        </w:rPr>
        <w:t>Subdirector de Gestión Normativa y Doctrina</w:t>
      </w:r>
    </w:p>
    <w:p w14:paraId="69C9F3EF" w14:textId="77777777" w:rsidR="000B2AD5" w:rsidRPr="000B2AD5" w:rsidRDefault="000B2AD5" w:rsidP="000B2AD5">
      <w:pPr>
        <w:spacing w:before="100" w:beforeAutospacing="1" w:after="100" w:afterAutospacing="1" w:line="240" w:lineRule="auto"/>
        <w:jc w:val="both"/>
        <w:rPr>
          <w:rFonts w:ascii="Arial" w:eastAsia="Times New Roman" w:hAnsi="Arial" w:cs="Arial"/>
          <w:sz w:val="24"/>
          <w:szCs w:val="24"/>
          <w:lang w:eastAsia="es-CO"/>
        </w:rPr>
      </w:pPr>
      <w:r w:rsidRPr="000B2AD5">
        <w:rPr>
          <w:rFonts w:ascii="Arial" w:eastAsia="Times New Roman" w:hAnsi="Arial" w:cs="Arial"/>
          <w:color w:val="000000"/>
          <w:sz w:val="24"/>
          <w:szCs w:val="24"/>
          <w:lang w:eastAsia="es-CO"/>
        </w:rPr>
        <w:t>Dirección de Gestión Jurídica</w:t>
      </w:r>
    </w:p>
    <w:sectPr w:rsidR="000B2AD5" w:rsidRPr="000B2A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50B83"/>
    <w:multiLevelType w:val="multilevel"/>
    <w:tmpl w:val="BE86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E06F25"/>
    <w:multiLevelType w:val="multilevel"/>
    <w:tmpl w:val="4D46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3687928">
    <w:abstractNumId w:val="1"/>
  </w:num>
  <w:num w:numId="2" w16cid:durableId="764420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AD5"/>
    <w:rsid w:val="000B2AD5"/>
    <w:rsid w:val="008345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0F60"/>
  <w15:chartTrackingRefBased/>
  <w15:docId w15:val="{F6ED8DD9-DE14-49B7-95B1-81AB1EE6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0B2AD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B2AD5"/>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0B2AD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semiHidden/>
    <w:unhideWhenUsed/>
    <w:rsid w:val="000B2AD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0B2AD5"/>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0B2AD5"/>
    <w:rPr>
      <w:i/>
      <w:iCs/>
    </w:rPr>
  </w:style>
  <w:style w:type="character" w:styleId="Hipervnculo">
    <w:name w:val="Hyperlink"/>
    <w:basedOn w:val="Fuentedeprrafopredeter"/>
    <w:uiPriority w:val="99"/>
    <w:semiHidden/>
    <w:unhideWhenUsed/>
    <w:rsid w:val="000B2AD5"/>
    <w:rPr>
      <w:color w:val="0000FF"/>
      <w:u w:val="single"/>
    </w:rPr>
  </w:style>
  <w:style w:type="paragraph" w:styleId="z-Principiodelformulario">
    <w:name w:val="HTML Top of Form"/>
    <w:basedOn w:val="Normal"/>
    <w:next w:val="Normal"/>
    <w:link w:val="z-PrincipiodelformularioCar"/>
    <w:hidden/>
    <w:uiPriority w:val="99"/>
    <w:semiHidden/>
    <w:unhideWhenUsed/>
    <w:rsid w:val="000B2AD5"/>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0B2AD5"/>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0B2AD5"/>
    <w:pPr>
      <w:pBdr>
        <w:top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0B2AD5"/>
    <w:rPr>
      <w:rFonts w:ascii="Arial" w:eastAsia="Times New Roman" w:hAnsi="Arial" w:cs="Arial"/>
      <w:vanish/>
      <w:sz w:val="16"/>
      <w:szCs w:val="16"/>
      <w:lang w:eastAsia="es-CO"/>
    </w:rPr>
  </w:style>
  <w:style w:type="paragraph" w:customStyle="1" w:styleId="first">
    <w:name w:val="first"/>
    <w:basedOn w:val="Normal"/>
    <w:rsid w:val="000B2AD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xpanded">
    <w:name w:val="expanded"/>
    <w:basedOn w:val="Normal"/>
    <w:rsid w:val="000B2AD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last">
    <w:name w:val="last"/>
    <w:basedOn w:val="Normal"/>
    <w:rsid w:val="000B2AD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724543">
      <w:bodyDiv w:val="1"/>
      <w:marLeft w:val="0"/>
      <w:marRight w:val="0"/>
      <w:marTop w:val="0"/>
      <w:marBottom w:val="0"/>
      <w:divBdr>
        <w:top w:val="none" w:sz="0" w:space="0" w:color="auto"/>
        <w:left w:val="none" w:sz="0" w:space="0" w:color="auto"/>
        <w:bottom w:val="none" w:sz="0" w:space="0" w:color="auto"/>
        <w:right w:val="none" w:sz="0" w:space="0" w:color="auto"/>
      </w:divBdr>
      <w:divsChild>
        <w:div w:id="1590502516">
          <w:marLeft w:val="0"/>
          <w:marRight w:val="0"/>
          <w:marTop w:val="0"/>
          <w:marBottom w:val="0"/>
          <w:divBdr>
            <w:top w:val="none" w:sz="0" w:space="0" w:color="auto"/>
            <w:left w:val="none" w:sz="0" w:space="0" w:color="auto"/>
            <w:bottom w:val="none" w:sz="0" w:space="0" w:color="auto"/>
            <w:right w:val="none" w:sz="0" w:space="0" w:color="auto"/>
          </w:divBdr>
          <w:divsChild>
            <w:div w:id="418216988">
              <w:marLeft w:val="0"/>
              <w:marRight w:val="0"/>
              <w:marTop w:val="0"/>
              <w:marBottom w:val="0"/>
              <w:divBdr>
                <w:top w:val="none" w:sz="0" w:space="0" w:color="auto"/>
                <w:left w:val="none" w:sz="0" w:space="0" w:color="auto"/>
                <w:bottom w:val="none" w:sz="0" w:space="0" w:color="auto"/>
                <w:right w:val="none" w:sz="0" w:space="0" w:color="auto"/>
              </w:divBdr>
              <w:divsChild>
                <w:div w:id="19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6085">
          <w:marLeft w:val="0"/>
          <w:marRight w:val="0"/>
          <w:marTop w:val="0"/>
          <w:marBottom w:val="0"/>
          <w:divBdr>
            <w:top w:val="none" w:sz="0" w:space="0" w:color="auto"/>
            <w:left w:val="none" w:sz="0" w:space="0" w:color="auto"/>
            <w:bottom w:val="none" w:sz="0" w:space="0" w:color="auto"/>
            <w:right w:val="none" w:sz="0" w:space="0" w:color="auto"/>
          </w:divBdr>
          <w:divsChild>
            <w:div w:id="1792934828">
              <w:marLeft w:val="0"/>
              <w:marRight w:val="0"/>
              <w:marTop w:val="0"/>
              <w:marBottom w:val="0"/>
              <w:divBdr>
                <w:top w:val="none" w:sz="0" w:space="0" w:color="auto"/>
                <w:left w:val="none" w:sz="0" w:space="0" w:color="auto"/>
                <w:bottom w:val="none" w:sz="0" w:space="0" w:color="auto"/>
                <w:right w:val="none" w:sz="0" w:space="0" w:color="auto"/>
              </w:divBdr>
              <w:divsChild>
                <w:div w:id="651369603">
                  <w:marLeft w:val="0"/>
                  <w:marRight w:val="0"/>
                  <w:marTop w:val="0"/>
                  <w:marBottom w:val="0"/>
                  <w:divBdr>
                    <w:top w:val="none" w:sz="0" w:space="0" w:color="auto"/>
                    <w:left w:val="none" w:sz="0" w:space="0" w:color="auto"/>
                    <w:bottom w:val="none" w:sz="0" w:space="0" w:color="auto"/>
                    <w:right w:val="none" w:sz="0" w:space="0" w:color="auto"/>
                  </w:divBdr>
                  <w:divsChild>
                    <w:div w:id="1263415944">
                      <w:marLeft w:val="0"/>
                      <w:marRight w:val="0"/>
                      <w:marTop w:val="0"/>
                      <w:marBottom w:val="0"/>
                      <w:divBdr>
                        <w:top w:val="none" w:sz="0" w:space="0" w:color="auto"/>
                        <w:left w:val="none" w:sz="0" w:space="0" w:color="auto"/>
                        <w:bottom w:val="none" w:sz="0" w:space="0" w:color="auto"/>
                        <w:right w:val="none" w:sz="0" w:space="0" w:color="auto"/>
                      </w:divBdr>
                      <w:divsChild>
                        <w:div w:id="11798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66836">
          <w:marLeft w:val="0"/>
          <w:marRight w:val="0"/>
          <w:marTop w:val="0"/>
          <w:marBottom w:val="0"/>
          <w:divBdr>
            <w:top w:val="none" w:sz="0" w:space="0" w:color="auto"/>
            <w:left w:val="none" w:sz="0" w:space="0" w:color="auto"/>
            <w:bottom w:val="none" w:sz="0" w:space="0" w:color="auto"/>
            <w:right w:val="none" w:sz="0" w:space="0" w:color="auto"/>
          </w:divBdr>
          <w:divsChild>
            <w:div w:id="1004160835">
              <w:marLeft w:val="0"/>
              <w:marRight w:val="0"/>
              <w:marTop w:val="0"/>
              <w:marBottom w:val="0"/>
              <w:divBdr>
                <w:top w:val="none" w:sz="0" w:space="0" w:color="auto"/>
                <w:left w:val="none" w:sz="0" w:space="0" w:color="auto"/>
                <w:bottom w:val="none" w:sz="0" w:space="0" w:color="auto"/>
                <w:right w:val="none" w:sz="0" w:space="0" w:color="auto"/>
              </w:divBdr>
              <w:divsChild>
                <w:div w:id="2017340194">
                  <w:marLeft w:val="0"/>
                  <w:marRight w:val="0"/>
                  <w:marTop w:val="0"/>
                  <w:marBottom w:val="0"/>
                  <w:divBdr>
                    <w:top w:val="none" w:sz="0" w:space="0" w:color="auto"/>
                    <w:left w:val="none" w:sz="0" w:space="0" w:color="auto"/>
                    <w:bottom w:val="none" w:sz="0" w:space="0" w:color="auto"/>
                    <w:right w:val="none" w:sz="0" w:space="0" w:color="auto"/>
                  </w:divBdr>
                  <w:divsChild>
                    <w:div w:id="19065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09451">
          <w:marLeft w:val="0"/>
          <w:marRight w:val="0"/>
          <w:marTop w:val="0"/>
          <w:marBottom w:val="0"/>
          <w:divBdr>
            <w:top w:val="none" w:sz="0" w:space="0" w:color="auto"/>
            <w:left w:val="none" w:sz="0" w:space="0" w:color="auto"/>
            <w:bottom w:val="none" w:sz="0" w:space="0" w:color="auto"/>
            <w:right w:val="none" w:sz="0" w:space="0" w:color="auto"/>
          </w:divBdr>
          <w:divsChild>
            <w:div w:id="1587231897">
              <w:marLeft w:val="0"/>
              <w:marRight w:val="0"/>
              <w:marTop w:val="0"/>
              <w:marBottom w:val="0"/>
              <w:divBdr>
                <w:top w:val="none" w:sz="0" w:space="0" w:color="auto"/>
                <w:left w:val="none" w:sz="0" w:space="0" w:color="auto"/>
                <w:bottom w:val="none" w:sz="0" w:space="0" w:color="auto"/>
                <w:right w:val="none" w:sz="0" w:space="0" w:color="auto"/>
              </w:divBdr>
              <w:divsChild>
                <w:div w:id="17051814">
                  <w:marLeft w:val="0"/>
                  <w:marRight w:val="0"/>
                  <w:marTop w:val="0"/>
                  <w:marBottom w:val="0"/>
                  <w:divBdr>
                    <w:top w:val="none" w:sz="0" w:space="0" w:color="auto"/>
                    <w:left w:val="none" w:sz="0" w:space="0" w:color="auto"/>
                    <w:bottom w:val="none" w:sz="0" w:space="0" w:color="auto"/>
                    <w:right w:val="none" w:sz="0" w:space="0" w:color="auto"/>
                  </w:divBdr>
                  <w:divsChild>
                    <w:div w:id="8516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an.gov.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981</Words>
  <Characters>5401</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Dussan Salazar</dc:creator>
  <cp:keywords/>
  <dc:description/>
  <cp:lastModifiedBy>William Dussan Salazar</cp:lastModifiedBy>
  <cp:revision>1</cp:revision>
  <dcterms:created xsi:type="dcterms:W3CDTF">2022-06-29T14:09:00Z</dcterms:created>
  <dcterms:modified xsi:type="dcterms:W3CDTF">2022-06-29T14:10:00Z</dcterms:modified>
</cp:coreProperties>
</file>