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EB" w:rsidRPr="00BC5DA9" w:rsidRDefault="002732EB" w:rsidP="002732EB">
      <w:pPr>
        <w:spacing w:after="0" w:line="240" w:lineRule="auto"/>
        <w:jc w:val="center"/>
        <w:rPr>
          <w:rFonts w:ascii="Century Gothic" w:eastAsia="Times New Roman" w:hAnsi="Century Gothic" w:cs="Times New Roman"/>
          <w:lang w:eastAsia="es-MX"/>
        </w:rPr>
      </w:pPr>
      <w:bookmarkStart w:id="0" w:name="_GoBack"/>
      <w:bookmarkEnd w:id="0"/>
      <w:r w:rsidRPr="00BC5DA9">
        <w:rPr>
          <w:rFonts w:ascii="Century Gothic" w:eastAsia="Times New Roman" w:hAnsi="Century Gothic" w:cs="Segoe UI"/>
          <w:b/>
          <w:lang w:val="en-US" w:eastAsia="es-MX"/>
        </w:rPr>
        <w:t>LEY 1753 DE 2015</w:t>
      </w:r>
    </w:p>
    <w:p w:rsidR="002732EB" w:rsidRPr="00BC5DA9" w:rsidRDefault="00BC5DA9" w:rsidP="002732EB">
      <w:pPr>
        <w:spacing w:after="0" w:line="240" w:lineRule="auto"/>
        <w:jc w:val="center"/>
        <w:rPr>
          <w:rFonts w:ascii="Century Gothic" w:eastAsia="Times New Roman" w:hAnsi="Century Gothic" w:cs="Times New Roman"/>
          <w:sz w:val="18"/>
          <w:szCs w:val="18"/>
          <w:lang w:eastAsia="es-MX"/>
        </w:rPr>
      </w:pPr>
      <w:r w:rsidRPr="00BC5DA9">
        <w:rPr>
          <w:rFonts w:ascii="Century Gothic" w:eastAsia="Times New Roman" w:hAnsi="Century Gothic" w:cs="Segoe UI"/>
          <w:b/>
          <w:sz w:val="18"/>
          <w:szCs w:val="18"/>
          <w:lang w:val="en-US" w:eastAsia="es-MX"/>
        </w:rPr>
        <w:t>(</w:t>
      </w:r>
      <w:proofErr w:type="spellStart"/>
      <w:r w:rsidRPr="00BC5DA9">
        <w:rPr>
          <w:rFonts w:ascii="Century Gothic" w:eastAsia="Times New Roman" w:hAnsi="Century Gothic" w:cs="Segoe UI"/>
          <w:b/>
          <w:sz w:val="18"/>
          <w:szCs w:val="18"/>
          <w:lang w:val="en-US" w:eastAsia="es-MX"/>
        </w:rPr>
        <w:t>Junio</w:t>
      </w:r>
      <w:proofErr w:type="spellEnd"/>
      <w:r w:rsidRPr="00BC5DA9">
        <w:rPr>
          <w:rFonts w:ascii="Century Gothic" w:eastAsia="Times New Roman" w:hAnsi="Century Gothic" w:cs="Segoe UI"/>
          <w:b/>
          <w:sz w:val="18"/>
          <w:szCs w:val="18"/>
          <w:lang w:val="en-US" w:eastAsia="es-MX"/>
        </w:rPr>
        <w:t xml:space="preserve"> </w:t>
      </w:r>
      <w:r w:rsidR="002732EB" w:rsidRPr="00BC5DA9">
        <w:rPr>
          <w:rFonts w:ascii="Century Gothic" w:eastAsia="Times New Roman" w:hAnsi="Century Gothic" w:cs="Segoe UI"/>
          <w:b/>
          <w:sz w:val="18"/>
          <w:szCs w:val="18"/>
          <w:lang w:val="en-US" w:eastAsia="es-MX"/>
        </w:rPr>
        <w:t>6</w:t>
      </w:r>
      <w:r w:rsidRPr="00BC5DA9">
        <w:rPr>
          <w:rFonts w:ascii="Century Gothic" w:eastAsia="Times New Roman" w:hAnsi="Century Gothic" w:cs="Segoe UI"/>
          <w:b/>
          <w:sz w:val="18"/>
          <w:szCs w:val="18"/>
          <w:lang w:val="en-US" w:eastAsia="es-MX"/>
        </w:rPr>
        <w:t>)</w:t>
      </w:r>
      <w:r w:rsidR="002732EB" w:rsidRPr="00BC5DA9">
        <w:rPr>
          <w:rFonts w:ascii="Century Gothic" w:eastAsia="Times New Roman" w:hAnsi="Century Gothic" w:cs="Segoe UI"/>
          <w:b/>
          <w:iCs/>
          <w:sz w:val="18"/>
          <w:szCs w:val="18"/>
          <w:lang w:eastAsia="es-MX"/>
        </w:rPr>
        <w:t> </w:t>
      </w:r>
    </w:p>
    <w:p w:rsidR="002732EB" w:rsidRPr="00BC5DA9" w:rsidRDefault="002732EB" w:rsidP="002732EB">
      <w:pPr>
        <w:spacing w:after="0" w:line="240" w:lineRule="auto"/>
        <w:jc w:val="center"/>
        <w:rPr>
          <w:rFonts w:ascii="Century Gothic" w:eastAsia="Times New Roman" w:hAnsi="Century Gothic" w:cs="Times New Roman"/>
          <w:lang w:eastAsia="es-MX"/>
        </w:rPr>
      </w:pPr>
      <w:r w:rsidRPr="0009725D">
        <w:rPr>
          <w:rFonts w:ascii="Century Gothic" w:eastAsia="Times New Roman" w:hAnsi="Century Gothic" w:cs="Segoe UI"/>
          <w:sz w:val="18"/>
          <w:szCs w:val="18"/>
          <w:lang w:val="es-CO" w:eastAsia="es-MX"/>
        </w:rPr>
        <w:t>Por la cual se expide el Plan Nacional de Desarrollo 2014-2018 “Todos por un nuevo país”.</w:t>
      </w:r>
    </w:p>
    <w:p w:rsidR="002732EB" w:rsidRPr="00BC5DA9" w:rsidRDefault="002732EB" w:rsidP="002732EB">
      <w:pPr>
        <w:spacing w:after="0" w:line="240" w:lineRule="auto"/>
        <w:jc w:val="center"/>
        <w:rPr>
          <w:rFonts w:ascii="Century Gothic" w:eastAsia="Times New Roman" w:hAnsi="Century Gothic" w:cs="Times New Roman"/>
          <w:lang w:eastAsia="es-MX"/>
        </w:rPr>
      </w:pPr>
      <w:r w:rsidRPr="0009725D">
        <w:rPr>
          <w:rFonts w:ascii="Century Gothic" w:eastAsia="Times New Roman" w:hAnsi="Century Gothic" w:cs="Segoe UI"/>
          <w:lang w:val="es-CO" w:eastAsia="es-MX"/>
        </w:rPr>
        <w:t> </w:t>
      </w:r>
    </w:p>
    <w:p w:rsidR="002732EB" w:rsidRPr="00BC5DA9" w:rsidRDefault="002732EB" w:rsidP="002732EB">
      <w:pPr>
        <w:spacing w:after="0" w:line="240" w:lineRule="auto"/>
        <w:jc w:val="center"/>
        <w:rPr>
          <w:rFonts w:ascii="Century Gothic" w:eastAsia="Times New Roman" w:hAnsi="Century Gothic" w:cs="Times New Roman"/>
          <w:lang w:eastAsia="es-MX"/>
        </w:rPr>
      </w:pP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EL CONGRESO DE LA REPÚBLICA DE COLOMBIA</w:t>
      </w:r>
    </w:p>
    <w:p w:rsidR="002732EB" w:rsidRPr="00BC5DA9" w:rsidRDefault="002732EB" w:rsidP="002732EB">
      <w:pPr>
        <w:spacing w:after="0" w:line="240" w:lineRule="auto"/>
        <w:jc w:val="center"/>
        <w:rPr>
          <w:rFonts w:ascii="Century Gothic" w:eastAsia="Times New Roman" w:hAnsi="Century Gothic" w:cs="Arial"/>
          <w:lang w:eastAsia="es-MX"/>
        </w:rPr>
      </w:pP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DECRETA:</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TÍTULO I</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Arial"/>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DISPOSICIONES GENERALES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Objetivos del Plan Nacional de Desarrollo</w:t>
      </w:r>
      <w:r w:rsidRPr="00BC5DA9">
        <w:rPr>
          <w:rFonts w:ascii="Century Gothic" w:eastAsia="Times New Roman" w:hAnsi="Century Gothic" w:cs="Segoe UI"/>
          <w:lang w:eastAsia="es-MX"/>
        </w:rPr>
        <w:t>. El Plan Nacional de Desarrollo 2014-2018 “Todos por un nuevo país”, que se expide por medio de la presente ley, tiene como objetivo construir una Colombia en paz, equitativa y educada, en armonía con los propósitos del Gobierno nacional, con las mejores prácticas y estándares internacionales, y con la visión de planificación, de largo plazo prevista por los objetivos de desarrollo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Parte integral de esta ley. </w:t>
      </w:r>
      <w:r w:rsidRPr="00BC5DA9">
        <w:rPr>
          <w:rFonts w:ascii="Century Gothic" w:eastAsia="Times New Roman" w:hAnsi="Century Gothic" w:cs="Segoe UI"/>
          <w:lang w:eastAsia="es-MX"/>
        </w:rPr>
        <w:t>El documento denominado “Bases del Plan Nacional de Desarrollo 2014-2018: Todos por un nuevo país”, elaborado por el Gobierno nacional con la participación del Consejo Superior de la Judicatura y del Consejo Nacional de Planeación, con las modificaciones realizadas en el trámite legislativo, es parte integral del Plan Nacional de Desarrollo y se incorpora a la presente ley como un anexo.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Pilares del Plan Nacional de Desarrollo. </w:t>
      </w:r>
      <w:r w:rsidRPr="00BC5DA9">
        <w:rPr>
          <w:rFonts w:ascii="Century Gothic" w:eastAsia="Times New Roman" w:hAnsi="Century Gothic" w:cs="Segoe UI"/>
          <w:lang w:eastAsia="es-MX"/>
        </w:rPr>
        <w:t>El Plan Nacional de Desarrollo se basa en los siguientes tres pilares: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 xml:space="preserve">1. </w:t>
      </w:r>
      <w:r w:rsidRPr="00BC5DA9">
        <w:rPr>
          <w:rFonts w:ascii="Century Gothic" w:eastAsia="Times New Roman" w:hAnsi="Century Gothic" w:cs="Segoe UI"/>
          <w:b/>
          <w:bCs/>
          <w:lang w:eastAsia="es-MX"/>
        </w:rPr>
        <w:t>Paz</w:t>
      </w:r>
      <w:r w:rsidRPr="00BC5DA9">
        <w:rPr>
          <w:rFonts w:ascii="Century Gothic" w:eastAsia="Times New Roman" w:hAnsi="Century Gothic" w:cs="Segoe UI"/>
          <w:lang w:eastAsia="es-MX"/>
        </w:rPr>
        <w:t>. El Plan refleja la voluntad política del Gobierno para construir una paz sostenible bajo un enfoque de goce efectivo de derechos.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 xml:space="preserve">2. </w:t>
      </w:r>
      <w:r w:rsidRPr="00BC5DA9">
        <w:rPr>
          <w:rFonts w:ascii="Century Gothic" w:eastAsia="Times New Roman" w:hAnsi="Century Gothic" w:cs="Segoe UI"/>
          <w:b/>
          <w:bCs/>
          <w:lang w:eastAsia="es-MX"/>
        </w:rPr>
        <w:t>Equidad</w:t>
      </w:r>
      <w:r w:rsidRPr="00BC5DA9">
        <w:rPr>
          <w:rFonts w:ascii="Century Gothic" w:eastAsia="Times New Roman" w:hAnsi="Century Gothic" w:cs="Segoe UI"/>
          <w:lang w:eastAsia="es-MX"/>
        </w:rPr>
        <w:t>. El Plan contempla una visión de desarrollo humano integral en una sociedad con oportunidades para todos.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 xml:space="preserve">3. </w:t>
      </w:r>
      <w:r w:rsidRPr="00BC5DA9">
        <w:rPr>
          <w:rFonts w:ascii="Century Gothic" w:eastAsia="Times New Roman" w:hAnsi="Century Gothic" w:cs="Segoe UI"/>
          <w:b/>
          <w:bCs/>
          <w:lang w:eastAsia="es-MX"/>
        </w:rPr>
        <w:t>Educación</w:t>
      </w:r>
      <w:r w:rsidRPr="00BC5DA9">
        <w:rPr>
          <w:rFonts w:ascii="Century Gothic" w:eastAsia="Times New Roman" w:hAnsi="Century Gothic" w:cs="Segoe UI"/>
          <w:b/>
          <w:lang w:eastAsia="es-MX"/>
        </w:rPr>
        <w:t>.</w:t>
      </w:r>
      <w:r w:rsidRPr="00BC5DA9">
        <w:rPr>
          <w:rFonts w:ascii="Century Gothic" w:eastAsia="Times New Roman" w:hAnsi="Century Gothic" w:cs="Segoe UI"/>
          <w:lang w:eastAsia="es-MX"/>
        </w:rPr>
        <w:t xml:space="preserve"> El Plan asume la educación como el más poderoso instrumento de igualdad social y crecimiento económico en el largo plazo, con una visión orientada a cerrar brechas en acceso y calidad al sistema educativo, entre individuos, grupos poblacionales y entre regiones, acercando al país a altos estándares internacionales y logrando la igualdad de oportunidades para todos los ciudadanos.</w:t>
      </w:r>
    </w:p>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MX"/>
        </w:rPr>
        <w:t>Artículo 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Estrategias transversales y regionales</w:t>
      </w:r>
      <w:r w:rsidRPr="00BC5DA9">
        <w:rPr>
          <w:rFonts w:ascii="Century Gothic" w:eastAsia="Times New Roman" w:hAnsi="Century Gothic" w:cs="Segoe UI"/>
          <w:lang w:eastAsia="es-MX"/>
        </w:rPr>
        <w:t>. Para la consolidación de los tres Pilares descritos en el artículo anterior y la transformación hacia un nuevo país, en el Plan Nacional de Desarrollo 2014-2018 se incorporarán estrategias transversales: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1. Competitividad e infraestructura estratégicas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2. Movilidad social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3. Transformación del campo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4. Seguridad, justicia y democracia para la construcción de paz</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5. Buen gobierno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6. Crecimiento verde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De igual manera se incorporarán las siguientes estrategias regionales, para establecer las prioridades para la gestión territorial y promover su desarrollo: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lang w:eastAsia="es-MX"/>
        </w:rPr>
        <w:t>Caribe</w:t>
      </w:r>
      <w:r w:rsidRPr="00BC5DA9">
        <w:rPr>
          <w:rFonts w:ascii="Century Gothic" w:eastAsia="Times New Roman" w:hAnsi="Century Gothic" w:cs="Segoe UI"/>
          <w:lang w:eastAsia="es-MX"/>
        </w:rPr>
        <w:t>: Próspero, equitativo y sin pobreza extrema.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lang w:eastAsia="es-MX"/>
        </w:rPr>
        <w:t>Eje Cafetero y Antioquia</w:t>
      </w:r>
      <w:r w:rsidRPr="00BC5DA9">
        <w:rPr>
          <w:rFonts w:ascii="Century Gothic" w:eastAsia="Times New Roman" w:hAnsi="Century Gothic" w:cs="Segoe UI"/>
          <w:lang w:eastAsia="es-MX"/>
        </w:rPr>
        <w:t>: Capital humano innovador en territorios incluyentes.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lang w:eastAsia="es-MX"/>
        </w:rPr>
        <w:t>Centro Oriente y Distrito Capital de Bogotá</w:t>
      </w:r>
      <w:r w:rsidRPr="00BC5DA9">
        <w:rPr>
          <w:rFonts w:ascii="Century Gothic" w:eastAsia="Times New Roman" w:hAnsi="Century Gothic" w:cs="Segoe UI"/>
          <w:lang w:eastAsia="es-MX"/>
        </w:rPr>
        <w:t>: Conectividad para la integración y desarrollo productivo sostenible de la región.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lang w:eastAsia="es-MX"/>
        </w:rPr>
        <w:t>Pacífico</w:t>
      </w:r>
      <w:r w:rsidRPr="00BC5DA9">
        <w:rPr>
          <w:rFonts w:ascii="Century Gothic" w:eastAsia="Times New Roman" w:hAnsi="Century Gothic" w:cs="Segoe UI"/>
          <w:lang w:eastAsia="es-MX"/>
        </w:rPr>
        <w:t>: Desarrollo socioeconómico con equidad, integración y sostenibilidad ambiental.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lang w:eastAsia="es-MX"/>
        </w:rPr>
        <w:t>Llanos Orientales</w:t>
      </w:r>
      <w:r w:rsidRPr="00BC5DA9">
        <w:rPr>
          <w:rFonts w:ascii="Century Gothic" w:eastAsia="Times New Roman" w:hAnsi="Century Gothic" w:cs="Segoe UI"/>
          <w:lang w:eastAsia="es-MX"/>
        </w:rPr>
        <w:t>: Medio ambiente, agroindustria y desarrollo humano: para el crecimiento y bienestar.</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lang w:eastAsia="es-MX"/>
        </w:rPr>
        <w:t>Centro Sur Amazonía</w:t>
      </w:r>
      <w:r w:rsidRPr="00BC5DA9">
        <w:rPr>
          <w:rFonts w:ascii="Century Gothic" w:eastAsia="Times New Roman" w:hAnsi="Century Gothic" w:cs="Segoe UI"/>
          <w:lang w:eastAsia="es-MX"/>
        </w:rPr>
        <w:t>: Tierra de oportunidades y paz: desarrollo del campo y conservación ambiental.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estrategias trasversales que se puedan aplicar acorde con la normatividad vigente cobijarán a los colombianos residentes en el exterior.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TÍTULO II</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PLAN DE INVERSIONES Y PRESUPUESTOS PLURIANUALES</w:t>
      </w:r>
    </w:p>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MX"/>
        </w:rPr>
        <w:t>Artículo 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Plan Nacional de Inversiones Públicas 2015-2018</w:t>
      </w:r>
      <w:r w:rsidRPr="00BC5DA9">
        <w:rPr>
          <w:rFonts w:ascii="Century Gothic" w:eastAsia="Times New Roman" w:hAnsi="Century Gothic" w:cs="Segoe UI"/>
          <w:lang w:eastAsia="es-MX"/>
        </w:rPr>
        <w:t>. El Plan Nacional de Inversiones Públicas 2015-2018 se estima en un valor de setecientos tres coma nueve ($703,9) billones, a pesos constantes de 2014, financiados de la siguiente manera: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bCs/>
          <w:lang w:eastAsia="es-MX"/>
        </w:rPr>
        <w:t>Estrategias Transversales y Objetivos</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bCs/>
          <w:lang w:eastAsia="es-MX"/>
        </w:rPr>
        <w:t>Plan de Inversiones 2015-2018</w:t>
      </w:r>
    </w:p>
    <w:p w:rsidR="002732EB" w:rsidRPr="00BC5DA9" w:rsidRDefault="002732EB" w:rsidP="002732EB">
      <w:pPr>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lang w:eastAsia="es-MX"/>
        </w:rPr>
        <w:t>Cifras en millones de pesos de 2014</w:t>
      </w:r>
    </w:p>
    <w:p w:rsidR="002732EB" w:rsidRPr="00BC5DA9" w:rsidRDefault="002732EB" w:rsidP="002732EB">
      <w:pPr>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Times New Roman"/>
          <w:lang w:eastAsia="es-MX"/>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063"/>
        <w:gridCol w:w="1413"/>
        <w:gridCol w:w="1044"/>
        <w:gridCol w:w="1062"/>
        <w:gridCol w:w="1062"/>
        <w:gridCol w:w="977"/>
        <w:gridCol w:w="1062"/>
      </w:tblGrid>
      <w:tr w:rsidR="00BC5DA9" w:rsidRPr="00BC5DA9">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Estrategia</w:t>
            </w:r>
          </w:p>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Objetivo</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Fuentes de financiación</w:t>
            </w:r>
          </w:p>
        </w:tc>
      </w:tr>
      <w:tr w:rsidR="00BC5DA9" w:rsidRPr="00BC5DA9">
        <w:tc>
          <w:tcPr>
            <w:tcW w:w="0" w:type="auto"/>
            <w:vMerge/>
            <w:tcBorders>
              <w:top w:val="single" w:sz="4" w:space="0" w:color="auto"/>
              <w:left w:val="single" w:sz="4" w:space="0" w:color="auto"/>
              <w:bottom w:val="single" w:sz="4" w:space="0" w:color="auto"/>
              <w:right w:val="single" w:sz="4" w:space="0" w:color="auto"/>
            </w:tcBorders>
            <w:vAlign w:val="center"/>
            <w:hideMark/>
          </w:tcPr>
          <w:p w:rsidR="002732EB" w:rsidRPr="00BC5DA9" w:rsidRDefault="002732EB" w:rsidP="002732EB">
            <w:pPr>
              <w:spacing w:after="0" w:line="240" w:lineRule="auto"/>
              <w:rPr>
                <w:rFonts w:ascii="Century Gothic" w:eastAsia="Times New Roman" w:hAnsi="Century Gothic" w:cs="Times New Roman"/>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Central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Descentralizado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E. Territoriales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Privado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SGP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SGR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TOTAL</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Competitividad e infraestructura estratégicas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40.442.775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3.00.731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10.299.194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121.296.836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3.403.565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10.601.843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189.047.971</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Desarrollo minero-energético para la equidad regional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8.944.717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1.683.814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1.019.537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65.731.739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380.634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743.173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78.503.614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 xml:space="preserve">Desarrollo </w:t>
            </w:r>
            <w:r w:rsidRPr="00BC5DA9">
              <w:rPr>
                <w:rFonts w:ascii="Century Gothic" w:eastAsia="Times New Roman" w:hAnsi="Century Gothic" w:cs="Segoe UI"/>
                <w:bCs/>
                <w:sz w:val="16"/>
                <w:szCs w:val="16"/>
                <w:lang w:eastAsia="es-MX"/>
              </w:rPr>
              <w:lastRenderedPageBreak/>
              <w:t>productivo</w:t>
            </w:r>
          </w:p>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TIC como plataforma para la equidad, la educación y la competitividad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4.815.257</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3.691.150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570.231</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176.805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2.510.940</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193.797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35.088</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18.165.658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26.171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313.250</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28.171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8.270.936</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22.255.580</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Ciencia, Tecnología e Innovación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1.728.143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12.887.423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2.587.402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17.202.968</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Infraestructura y servicios de logística y transporte para la integración territorial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21.263.509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572.881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6.574.921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24.476.955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2.996.760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6.929.847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62.814.873</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sz w:val="16"/>
                <w:szCs w:val="16"/>
                <w:lang w:eastAsia="es-MX"/>
              </w:rPr>
              <w:t>Modalidad social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66.332.633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92.790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32.563.735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83.493.159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121.313.669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6.641.594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310.437.580</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Cerrar brechas en acceso y calidad de la educación.</w:t>
            </w:r>
          </w:p>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Impulsar “Ciudades mables y Sostenibles para la Equidad”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30.123.367</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6.928.939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92.790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21.638.911</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1.259.795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491.086</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72.204.616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79.534.850</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7.945.547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4.700.286</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1.028.327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136.581.289</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89.367.224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Mínimos vitales fortalecimiento de las capacidades de la población en pobreza extrema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15.362.027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5.671.062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5.110.176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290.519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26.433.784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Alternativa para el empleo de calidad y el aseguramiento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100.707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195.809</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Mejorar las condiciones de salud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13.823.197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3.993.967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10.797.457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28.723.097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521.754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57.859.473</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Transformación del campo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10.297.362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966.708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35.528.492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878.079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1.600.933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49.271.574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Reducción de la pobreza y la ampliación de la clase media rural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2.518.482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34.612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28.605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547.444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3.129.143</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Impulsar la competitividad rural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5.165.195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932.096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35.528.492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849.474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309.255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42.784.512</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Fortalecimiento institucional de la presencia territorial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241.057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241.057</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 xml:space="preserve">Ordenamiento </w:t>
            </w:r>
            <w:r w:rsidRPr="00BC5DA9">
              <w:rPr>
                <w:rFonts w:ascii="Century Gothic" w:eastAsia="Times New Roman" w:hAnsi="Century Gothic" w:cs="Segoe UI"/>
                <w:bCs/>
                <w:sz w:val="16"/>
                <w:szCs w:val="16"/>
                <w:lang w:eastAsia="es-MX"/>
              </w:rPr>
              <w:lastRenderedPageBreak/>
              <w:t>del territorio rural y acceso a la tierra por pobladores rurales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768.787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84.958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853.745</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Cerrar la brechas urbano-rurales y sentar las bases para la movilidad social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1.603.841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659.276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2.263.116</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sz w:val="16"/>
                <w:szCs w:val="16"/>
                <w:lang w:eastAsia="es-MX"/>
              </w:rPr>
              <w:t>Seguridad, justicia y democracia para la construcción de la paz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129.599.961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151.442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2.631.619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406.272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4.310.575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316.666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137.416.535</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Prestación, administración y acceso a los servicios de justicia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24.035.974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1.765.913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406.272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26.210.839</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Fortalecer los mecanismos de transición hacia la paz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1.420.948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14.857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1.435.805</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Garantía del goce efectivo de derechos de las víctimas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7.734.691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143.308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587.353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39.472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8.504.824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Promoción, respeto y protección de Derechos Humanos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1.217.113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1.219.170</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Seguridad y defensa en el territorio nacional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91.226.355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151.442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126.543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2.131.989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100.720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93.737.048</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Enfrentar el problema de las drogas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365.443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396.00</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Política Criminal con enfoque restaurativo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3.581.128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595.752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1.589.491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128.164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5.894.535</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Acción Integral contra Minas Antipersonal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18.310</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Buen gobierno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7.638.749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190.817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203.136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197.926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8.230.629</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Lucha contra la corrupción, transparencia y rendición de cuentas.</w:t>
            </w:r>
          </w:p>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Gestión óptima de la información</w:t>
            </w:r>
          </w:p>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Eficiencia y eficacia administrativa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1.394.390</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1.650.849</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2.455.860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Times New Roman"/>
                <w:sz w:val="16"/>
                <w:szCs w:val="16"/>
                <w:lang w:eastAsia="es-MX"/>
              </w:rPr>
              <w:t> </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21.466</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169.351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Times New Roman"/>
                <w:sz w:val="16"/>
                <w:szCs w:val="16"/>
                <w:lang w:eastAsia="es-MX"/>
              </w:rPr>
              <w:t> </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Times New Roman"/>
                <w:sz w:val="16"/>
                <w:szCs w:val="16"/>
                <w:lang w:eastAsia="es-MX"/>
              </w:rPr>
              <w:t> </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203.136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127.720</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Times New Roman"/>
                <w:sz w:val="16"/>
                <w:szCs w:val="16"/>
                <w:lang w:eastAsia="es-MX"/>
              </w:rPr>
              <w:t> </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1.522.110</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1.677.414</w:t>
            </w:r>
          </w:p>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2.828.347</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 xml:space="preserve">Articulación Nación </w:t>
            </w:r>
            <w:r w:rsidRPr="00BC5DA9">
              <w:rPr>
                <w:rFonts w:ascii="Century Gothic" w:eastAsia="Times New Roman" w:hAnsi="Century Gothic" w:cs="Segoe UI"/>
                <w:bCs/>
                <w:sz w:val="16"/>
                <w:szCs w:val="16"/>
                <w:lang w:eastAsia="es-MX"/>
              </w:rPr>
              <w:lastRenderedPageBreak/>
              <w:t>territorio fortalecida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1.665.109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27.732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1.692.841</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lastRenderedPageBreak/>
              <w:t>Promover y asegurar los intereses nacionales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374.459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375.614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Gestión óptima de la gestión de los recursos públicos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93.751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36.220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129.971</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Fortalecimiento del sector hacienda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4.332</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Crecimiento verde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4.371.652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1.414.565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2.895.407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849.352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9.530.975</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Avanzar hacia un crecimiento sostenible y bajo en carbono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498.385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162.546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687.454</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 xml:space="preserve">Lograr un crecimiento </w:t>
            </w:r>
            <w:proofErr w:type="spellStart"/>
            <w:r w:rsidRPr="00BC5DA9">
              <w:rPr>
                <w:rFonts w:ascii="Century Gothic" w:eastAsia="Times New Roman" w:hAnsi="Century Gothic" w:cs="Segoe UI"/>
                <w:bCs/>
                <w:sz w:val="16"/>
                <w:szCs w:val="16"/>
                <w:lang w:eastAsia="es-MX"/>
              </w:rPr>
              <w:t>resiliente</w:t>
            </w:r>
            <w:proofErr w:type="spellEnd"/>
            <w:r w:rsidRPr="00BC5DA9">
              <w:rPr>
                <w:rFonts w:ascii="Century Gothic" w:eastAsia="Times New Roman" w:hAnsi="Century Gothic" w:cs="Segoe UI"/>
                <w:bCs/>
                <w:sz w:val="16"/>
                <w:szCs w:val="16"/>
                <w:lang w:eastAsia="es-MX"/>
              </w:rPr>
              <w:t xml:space="preserve"> y reducir la vulnerabilidad frente a los riesgos de desastres y al cambio climático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3.490.938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1.580.917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47.039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5.119.649</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Proteger y asegurar el uso sostenible del capital natural y mejorar la calidad ambiental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876.373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915.425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1.151.943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780.130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3.723.782</w:t>
            </w:r>
          </w:p>
        </w:tc>
      </w:tr>
      <w:tr w:rsidR="00BC5DA9" w:rsidRPr="00BC5DA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both"/>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258.683.133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3.438.780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47.875.821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240.927.922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132.801.295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20.208.313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2EB" w:rsidRPr="00BC5DA9" w:rsidRDefault="002732EB" w:rsidP="002732EB">
            <w:pPr>
              <w:spacing w:after="0" w:line="240" w:lineRule="auto"/>
              <w:jc w:val="right"/>
              <w:rPr>
                <w:rFonts w:ascii="Century Gothic" w:eastAsia="Times New Roman" w:hAnsi="Century Gothic" w:cs="Times New Roman"/>
                <w:sz w:val="16"/>
                <w:szCs w:val="16"/>
                <w:lang w:eastAsia="es-MX"/>
              </w:rPr>
            </w:pPr>
            <w:r w:rsidRPr="00BC5DA9">
              <w:rPr>
                <w:rFonts w:ascii="Century Gothic" w:eastAsia="Times New Roman" w:hAnsi="Century Gothic" w:cs="Segoe UI"/>
                <w:bCs/>
                <w:sz w:val="16"/>
                <w:szCs w:val="16"/>
                <w:lang w:eastAsia="es-MX"/>
              </w:rPr>
              <w:t>703.935.263</w:t>
            </w:r>
          </w:p>
        </w:tc>
      </w:tr>
    </w:tbl>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SGP (Sistema General de Participaciones), SGR (Sistema General de Regalías).</w:t>
      </w:r>
    </w:p>
    <w:p w:rsidR="002732EB" w:rsidRPr="00BC5DA9" w:rsidRDefault="002732EB" w:rsidP="002732EB">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Los recursos identificados como fuentes de entidades territoriales para el financiamiento del Plan Nacional de Inversiones Públicas 2015-2018, corresponde a estimaciones de gastos de los niveles departamental, distrital y municipal en el marco de su autonomía, para la articulación de políticas, estrategias y programas nacionales con los territoriales, según los mecanismos de ejecución definidos en el presente plan.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Apruébese como parte integrante del plan de inversiones el documento “Regionalización del Plan Plurianual de Inversiones” que se anexa a la presente ley, el cual contiene los principales proyectos visionarios, proyectos de interés nacional estratégico y proyectos de iniciativas regionales.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3°.</w:t>
      </w:r>
      <w:r w:rsidRPr="00BC5DA9">
        <w:rPr>
          <w:rFonts w:ascii="Century Gothic" w:eastAsia="Times New Roman" w:hAnsi="Century Gothic" w:cs="Segoe UI"/>
          <w:lang w:eastAsia="es-MX"/>
        </w:rPr>
        <w:t xml:space="preserve"> Como parte integral del Plan Plurianual de Inversiones se incluyen de manera transversal las proyecciones indicativas acordadas en el marco de la </w:t>
      </w:r>
      <w:r w:rsidRPr="00BC5DA9">
        <w:rPr>
          <w:rFonts w:ascii="Century Gothic" w:eastAsia="Times New Roman" w:hAnsi="Century Gothic" w:cs="Segoe UI"/>
          <w:lang w:eastAsia="es-MX"/>
        </w:rPr>
        <w:lastRenderedPageBreak/>
        <w:t>consulta previa, estimadas para los pueblos indígenas entre ocho (8) y once (11) billones de pesos, considerando el Plan Macroeconómico y el Marco Fiscal de Mediano Plazo del Gobierno nacional, de acuerdo con todas las fuentes del presente Plan Plurianual de Inversiones.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4°.</w:t>
      </w:r>
      <w:r w:rsidRPr="00BC5DA9">
        <w:rPr>
          <w:rFonts w:ascii="Century Gothic" w:eastAsia="Times New Roman" w:hAnsi="Century Gothic" w:cs="Segoe UI"/>
          <w:lang w:eastAsia="es-MX"/>
        </w:rPr>
        <w:t xml:space="preserve"> Lo recursos del Presupuesto General de la Nación que en ejecución del presente Plan Nacional de Desarrollo sean asignados a las comunidades negras, afrocolombianas, raizales y </w:t>
      </w:r>
      <w:proofErr w:type="spellStart"/>
      <w:r w:rsidRPr="00BC5DA9">
        <w:rPr>
          <w:rFonts w:ascii="Century Gothic" w:eastAsia="Times New Roman" w:hAnsi="Century Gothic" w:cs="Segoe UI"/>
          <w:lang w:eastAsia="es-MX"/>
        </w:rPr>
        <w:t>palenqueras</w:t>
      </w:r>
      <w:proofErr w:type="spellEnd"/>
      <w:r w:rsidRPr="00BC5DA9">
        <w:rPr>
          <w:rFonts w:ascii="Century Gothic" w:eastAsia="Times New Roman" w:hAnsi="Century Gothic" w:cs="Segoe UI"/>
          <w:lang w:eastAsia="es-MX"/>
        </w:rPr>
        <w:t>, no podrán ser inferiores, de manera proporcional, a los asignados del Presupuesto General de la Nación en el periodo 2010-2014, y guardando la proporción a los techos que se asignen para el mismo, en el Marco Fiscal de Mediano Plazo y Marco de Gasto de Mediano Plazo para el periodo 2014- 2018”.</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Recursos financieros, presupuestos plurianuales y consistencia fiscal del plan nacional de inversiones públicas. </w:t>
      </w:r>
      <w:r w:rsidRPr="00BC5DA9">
        <w:rPr>
          <w:rFonts w:ascii="Century Gothic" w:eastAsia="Times New Roman" w:hAnsi="Century Gothic" w:cs="Segoe UI"/>
          <w:lang w:eastAsia="es-MX"/>
        </w:rPr>
        <w:t>El valor total de los gastos que se realicen para la ejecución del presente plan financiados con recursos del Presupuesto General de la Nación, no podrán superar en ningún caso el monto de los recursos disponibles de conformidad con el Plan Macroeconómico y el Marco Fiscal de Mediano Plazo del Gobierno nacional en armonía con el criterio orientador de sostenibilidad fiscal.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metas contempladas en el Plan Nacional de Desarrollo 2015-2018 se ajustarán a las metas fiscales establecidas en el Marco Fiscal de Mediano Plazo, en el Marco de Gasto de Mediano Plazo y los Presupuestos Generales de la Nación aprobados para cada vigencia, según lo señalado en los artículos 4° y 5° de la Ley 1473 de 2011.</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TÍTULO III</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MECANISMOS PARA LA EJECUCIÓN DEL PLAN</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CAPÍTULO I</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bCs/>
          <w:lang w:eastAsia="es-MX"/>
        </w:rPr>
        <w:t>Competitividad e Infraestructura Estratégicas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Acuerdos estratégicos de Ciencia, Tecnología e Innovación</w:t>
      </w:r>
      <w:r w:rsidRPr="00BC5DA9">
        <w:rPr>
          <w:rFonts w:ascii="Century Gothic" w:eastAsia="Times New Roman" w:hAnsi="Century Gothic" w:cs="Segoe UI"/>
          <w:lang w:eastAsia="es-MX"/>
        </w:rPr>
        <w:t>. Colciencias, en coordinación con el Departamento Nacional de Planeación, los departamentos y el Distrito Capital, estructurarán planes y acuerdos estratégicos departamentales en Ciencia, Tecnología e Innovación, a los cuales se ajustarán los proyectos que se presentarán al Órgano Colegiado de Administración y Decisión del Fondo de Ciencia, Tecnología e Innovación del Sistema General de Regalías.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Para efectos de lo previsto en el presente artículo se podrá contar con la participación de los demás actores del Sistema de Competitividad, Ciencia, Tecnología e Innovación.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lastRenderedPageBreak/>
        <w:t>Artículo 8°.</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Operaciones aduaneras en Infraestructuras Logísticas Especializadas</w:t>
      </w:r>
      <w:r w:rsidRPr="00BC5DA9">
        <w:rPr>
          <w:rFonts w:ascii="Century Gothic" w:eastAsia="Times New Roman" w:hAnsi="Century Gothic" w:cs="Segoe UI"/>
          <w:lang w:eastAsia="es-MX"/>
        </w:rPr>
        <w:t xml:space="preserve">. En las Infraestructuras Logísticas Especializadas (ILE) se podrán realizar las operaciones aduaneras que defina la DIAN, de modo que estas infraestructuras se integren a los corredores logísticos de importancia estratégica y se facilite el comercio exterior aprovechando la </w:t>
      </w:r>
      <w:proofErr w:type="spellStart"/>
      <w:r w:rsidRPr="00BC5DA9">
        <w:rPr>
          <w:rFonts w:ascii="Century Gothic" w:eastAsia="Times New Roman" w:hAnsi="Century Gothic" w:cs="Segoe UI"/>
          <w:lang w:eastAsia="es-MX"/>
        </w:rPr>
        <w:t>intermodalidad</w:t>
      </w:r>
      <w:proofErr w:type="spellEnd"/>
      <w:r w:rsidRPr="00BC5DA9">
        <w:rPr>
          <w:rFonts w:ascii="Century Gothic" w:eastAsia="Times New Roman" w:hAnsi="Century Gothic" w:cs="Segoe UI"/>
          <w:lang w:eastAsia="es-MX"/>
        </w:rPr>
        <w:t xml:space="preserve"> para el movimiento de mercancías desde y hacia los puertos de origen o destino.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Registro de Facturas Electrónicas</w:t>
      </w:r>
      <w:r w:rsidRPr="00BC5DA9">
        <w:rPr>
          <w:rFonts w:ascii="Century Gothic" w:eastAsia="Times New Roman" w:hAnsi="Century Gothic" w:cs="Segoe UI"/>
          <w:lang w:eastAsia="es-MX"/>
        </w:rPr>
        <w:t>. Créase el Registro de Facturas Electrónicas, el cual será administrado por el Ministerio de Comercio, Industria y Turismo. Este registro incluirá las facturas electrónicas que sean consideradas como título valor que circulen en el territorio nacional y permitirá la consulta de información de las mismas. Igualmente permitirá hacer la trazabilidad de dichas facturas electrónicas, bajo los estándares necesarios para el control del lavado de activos y garantizará el cumplimiento de los principios de unicidad, autenticidad, integridad y no repudio de la factura electrónica.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Gobierno nacional reglamentará la puesta en funcionamiento del registro único.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El Ministerio de Comercio, Industria y Turismo podrá contratar con terceros la administración de este registro. El Ministerio de Comercio, Industria y Turismo mediante resolución establecerá las condiciones y requisitos que deberá cumplir el contratista.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Los costos de administración de este registro se financiarán con una contraprestación a favor del administrador y a cargo de quien consulte la información, de quien solicite el registro de la transferencia, y de quien solicite la expedición de certificados sobre la existencia del título y su titularidad para efectos de la ejecución de las facturas electrónicas, entre otros, que será determinada por el Ministerio de Comercio, Industria y Turismo, tomando como referencia los costos de administración e inversión necesarios para la puesta en operación, mantenimiento y continuidad del servicio. El monto de esta contraprestación será actualizado anualmente.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10.</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Derechos de propiedad intelectual de proyectos de investigación y desarrollo financiados con recursos públicos</w:t>
      </w:r>
      <w:r w:rsidRPr="00BC5DA9">
        <w:rPr>
          <w:rFonts w:ascii="Century Gothic" w:eastAsia="Times New Roman" w:hAnsi="Century Gothic" w:cs="Segoe UI"/>
          <w:lang w:eastAsia="es-MX"/>
        </w:rPr>
        <w:t>. En los casos de proyectos de investigación y desarrollo de ciencia, tecnología e innovación y de tecnologías de la información y las comunicaciones, adelantados con recursos públicos, el Estado podrá ceder a título gratuito, salvo por motivos de seguridad y defensa nacional, los derechos de propiedad intelectual que le correspondan, y autorizará su transferencia, comercialización y explotación a quien adelante y ejecute el proyecto, sin que ello constituya daño patrimonial al Estado. Las condiciones de esta cesión serán fijadas en el respectivo contrato y en todo caso el Estado se reserva el derecho de obtener una licencia no exclusiva y gratuita de estos derechos de propiedad intelectual por motivos de interés 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Gobierno nacional reglamentará esta materia en un plazo no superior a un (1) año contado a partir de la vigencia de la presente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Programa de Transformación Productiva (PTP)</w:t>
      </w:r>
      <w:r w:rsidRPr="00BC5DA9">
        <w:rPr>
          <w:rFonts w:ascii="Century Gothic" w:eastAsia="Times New Roman" w:hAnsi="Century Gothic" w:cs="Segoe UI"/>
          <w:lang w:eastAsia="es-MX"/>
        </w:rPr>
        <w:t>. Modifíquese el artículo 50 de la Ley 1450 de 2011,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50. </w:t>
      </w:r>
      <w:r w:rsidRPr="00BC5DA9">
        <w:rPr>
          <w:rFonts w:ascii="Century Gothic" w:eastAsia="Times New Roman" w:hAnsi="Century Gothic" w:cs="Segoe UI"/>
          <w:b/>
          <w:bCs/>
          <w:i/>
          <w:iCs/>
          <w:lang w:eastAsia="es-MX"/>
        </w:rPr>
        <w:t xml:space="preserve">Programa de Transformación Productiva (PTP). </w:t>
      </w:r>
      <w:r w:rsidRPr="00BC5DA9">
        <w:rPr>
          <w:rFonts w:ascii="Century Gothic" w:eastAsia="Times New Roman" w:hAnsi="Century Gothic" w:cs="Segoe UI"/>
          <w:lang w:eastAsia="es-MX"/>
        </w:rPr>
        <w:t>El Programa de Transformación Productiva tendrá por objeto la implementación de estrategias público-privadas y el aprovechamiento de ventajas comparativas para la mejora en productividad y competitividad de la industria, en el marco de la Política de Desarrollo Productivo del Ministerio de Comercio, Industria y Turismo, al cual se podrán destinar recursos del Ministerio de Comercio, Industria y Turismo, de Organismos Internacionales de Desarrollo, convenios de cooperación internacional, convenios con organizaciones privadas, convenios con entes territoriales y transferencias de otras entidades públicas de orden nacional y regional. Este programa será un patrimonio autónomo con régimen privado administrado por el Banco de Comercio Exterior S.A. (</w:t>
      </w:r>
      <w:proofErr w:type="spellStart"/>
      <w:r w:rsidRPr="00BC5DA9">
        <w:rPr>
          <w:rFonts w:ascii="Century Gothic" w:eastAsia="Times New Roman" w:hAnsi="Century Gothic" w:cs="Segoe UI"/>
          <w:lang w:eastAsia="es-MX"/>
        </w:rPr>
        <w:t>Bancóldex</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Parques Científicos, Tecnológicos y de Innovación (PCTI)</w:t>
      </w:r>
      <w:r w:rsidRPr="00BC5DA9">
        <w:rPr>
          <w:rFonts w:ascii="Century Gothic" w:eastAsia="Times New Roman" w:hAnsi="Century Gothic" w:cs="Segoe UI"/>
          <w:lang w:eastAsia="es-MX"/>
        </w:rPr>
        <w:t>. Con el propósito de promover la transferencia de conocimiento, la transferencia y comercialización de tecnología, y el establecimiento de vínculos de colaboración entre los diversos actores del Sistema Nacional de Competitividad, Ciencia, Tecnología e Innovación, entre otros, dentro de los ocho (8) meses siguientes a la expedición de la presente ley, Colciencias, el Ministerio de Comercio, Industria y Turismo, y el Departamento Nacional de Planeación, desarrollarán una estrategia para la promoción de Parques Científicos, Tecnológicos y de Innovación (PCTI) en el territorio colombiano, entendidos como zonas geográficas especiales destinadas a promover la innovación basada en el conocimiento científico y tecnológico y a contribuir a la productividad empresarial y la competitividad regional. Igualmente definirán los mecanismos para atraer personal altamente calificado e inversión pública y privada, así como los criterios para estructurar los PCTI en el marco del Fondo de Ciencia, Tecnología e Innovación del Sistema General de Regalías.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Para el efecto, Colciencias determinará los requisitos y las condiciones que deben cumplir las organizaciones especializadas encargadas de administrar los PCTI.</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Parágrafo. En los procesos de revisión y ajuste de los planes de ordenamiento territorial se podrán determinar los terrenos destinados a la localización de Parques Científicos, Tecnológicos y de Innovación (PCTI) en suelo urbano, de expansión urbana y rural.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Fondo de Modernización e Innovación para las Micro, Pequeñas y Medianas Empresas y Unidad de Desarrollo e Innovación. </w:t>
      </w:r>
      <w:r w:rsidRPr="00BC5DA9">
        <w:rPr>
          <w:rFonts w:ascii="Century Gothic" w:eastAsia="Times New Roman" w:hAnsi="Century Gothic" w:cs="Segoe UI"/>
          <w:lang w:eastAsia="es-MX"/>
        </w:rPr>
        <w:t>Unifíquense en un solo patrimonio autónomo el Fondo de Modernización e Innovación para las Micro, Pequeñas y Medianas Empresas y la Unidad de Desarrollo Empresarial, creados por las Leyes 590 de 2000 y Ley 1450 de 2011. Este patrimonio autónomo, se regirá por normas de derecho privado, y será administrado por el Banco de Comercio Exterior S.A. (</w:t>
      </w:r>
      <w:proofErr w:type="spellStart"/>
      <w:r w:rsidRPr="00BC5DA9">
        <w:rPr>
          <w:rFonts w:ascii="Century Gothic" w:eastAsia="Times New Roman" w:hAnsi="Century Gothic" w:cs="Segoe UI"/>
          <w:lang w:eastAsia="es-MX"/>
        </w:rPr>
        <w:t>Bancóldex</w:t>
      </w:r>
      <w:proofErr w:type="spellEnd"/>
      <w:r w:rsidRPr="00BC5DA9">
        <w:rPr>
          <w:rFonts w:ascii="Century Gothic" w:eastAsia="Times New Roman" w:hAnsi="Century Gothic" w:cs="Segoe UI"/>
          <w:lang w:eastAsia="es-MX"/>
        </w:rPr>
        <w:t xml:space="preserve">), de acuerdo con los lineamientos que fije el Gobierno </w:t>
      </w:r>
      <w:r w:rsidRPr="00BC5DA9">
        <w:rPr>
          <w:rFonts w:ascii="Century Gothic" w:eastAsia="Times New Roman" w:hAnsi="Century Gothic" w:cs="Segoe UI"/>
          <w:lang w:eastAsia="es-MX"/>
        </w:rPr>
        <w:lastRenderedPageBreak/>
        <w:t>nacional a través de la política pública que para el efecto defina el Ministerio de Comercio, Industria y Turismo.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recursos que integrarán el patrimonio autónomo son los siguientes: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1. Recursos provenientes del Presupuesto General de la Nación.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2. Recursos aportados por las entidades nacionales, territoriales o por particulares a través de convenios o transferencias.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3. Donaciones.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4. Recursos de cooperación nacional o internacional.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5. Rendimientos financieros generados por los recursos entregados, los cuales se reinvertirán de pleno derecho en el vehículo.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6. Las utilidades del Banco de Comercio Exterior (</w:t>
      </w:r>
      <w:proofErr w:type="spellStart"/>
      <w:r w:rsidRPr="00BC5DA9">
        <w:rPr>
          <w:rFonts w:ascii="Century Gothic" w:eastAsia="Times New Roman" w:hAnsi="Century Gothic" w:cs="Segoe UI"/>
          <w:lang w:eastAsia="es-MX"/>
        </w:rPr>
        <w:t>Bancóldex</w:t>
      </w:r>
      <w:proofErr w:type="spellEnd"/>
      <w:r w:rsidRPr="00BC5DA9">
        <w:rPr>
          <w:rFonts w:ascii="Century Gothic" w:eastAsia="Times New Roman" w:hAnsi="Century Gothic" w:cs="Segoe UI"/>
          <w:lang w:eastAsia="es-MX"/>
        </w:rPr>
        <w:t xml:space="preserve">), previa autorización del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7. Los demás recursos que obtenga o se le asignen a cualquier título.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Los gastos de funcionamiento y administración en que incurra por la operación de este patrimonio se reintegrarán a </w:t>
      </w:r>
      <w:proofErr w:type="spellStart"/>
      <w:r w:rsidRPr="00BC5DA9">
        <w:rPr>
          <w:rFonts w:ascii="Century Gothic" w:eastAsia="Times New Roman" w:hAnsi="Century Gothic" w:cs="Segoe UI"/>
          <w:lang w:eastAsia="es-MX"/>
        </w:rPr>
        <w:t>Bancóldex</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Funciones de </w:t>
      </w:r>
      <w:proofErr w:type="spellStart"/>
      <w:r w:rsidRPr="00BC5DA9">
        <w:rPr>
          <w:rFonts w:ascii="Century Gothic" w:eastAsia="Times New Roman" w:hAnsi="Century Gothic" w:cs="Segoe UI"/>
          <w:i/>
          <w:iCs/>
          <w:lang w:eastAsia="es-MX"/>
        </w:rPr>
        <w:t>Bancóldex</w:t>
      </w:r>
      <w:proofErr w:type="spellEnd"/>
      <w:r w:rsidRPr="00BC5DA9">
        <w:rPr>
          <w:rFonts w:ascii="Century Gothic" w:eastAsia="Times New Roman" w:hAnsi="Century Gothic" w:cs="Segoe UI"/>
          <w:lang w:eastAsia="es-MX"/>
        </w:rPr>
        <w:t>. Adiciónese el literal i) al artículo 282 del Decreto Ley 663 de 1993,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Artículo 282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b/>
          <w:bCs/>
          <w:i/>
          <w:iCs/>
          <w:lang w:eastAsia="es-MX"/>
        </w:rPr>
        <w:t>Funciones del Banco</w:t>
      </w:r>
      <w:r w:rsidRPr="00BC5DA9">
        <w:rPr>
          <w:rFonts w:ascii="Century Gothic" w:eastAsia="Times New Roman" w:hAnsi="Century Gothic" w:cs="Segoe UI"/>
          <w:lang w:eastAsia="es-MX"/>
        </w:rPr>
        <w:t xml:space="preserve">. El Banco cumplirá las siguientes funciones: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i) Actuar como estructurador, gestor y/o inversionista en vehículos de inversión que tengan la naturaleza de fondos de capital semilla, capital emprendedor o capital privado, o en fondos que inviertan en dichos fondos. Estos fondos de fondos deberán destinar al menos dos terceras partes de sus recursos a fondos de capital privado, semilla o emprendedor.</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Lo dispuesto en el presente artículo, no se refiere a las condiciones de funcionamiento del Fondo Emprender, que continuarán rigiéndose por lo establecido por el artículo 40 de la Ley 789 de 2002 y demás normas pertinentes”.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Fondo cuenta para atender pasivos pensionales en el sector hotelero. </w:t>
      </w:r>
      <w:r w:rsidRPr="00BC5DA9">
        <w:rPr>
          <w:rFonts w:ascii="Century Gothic" w:eastAsia="Times New Roman" w:hAnsi="Century Gothic" w:cs="Segoe UI"/>
          <w:lang w:eastAsia="es-MX"/>
        </w:rPr>
        <w:t>Créase un fondo como una fiducia mercantil, cuyo fideicomitente será el Ministerio de Hacienda y Crédito Público. Su objeto será la financiación y el pago del pasivo laboral y pensional del sector hotelero, que a la fecha de expedición de la presente ley cumpla las siguientes condiciones: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1. Que los inmuebles en los que se desarrollen actividades hoteleras hayan sido declarados de interés cultural.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2. Que los inmuebles hayan sido entregados a la Nación como resultado de un proceso de extinción de dominio.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3. Que la Nación en calidad de nuevo propietario los entregue en concesión o bajo cualquier esquema de asociación público privada.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Este fondo tendrá las siguientes fuentes de recursos: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1. Los recursos que le transfiera la entidad concesionaria o administradora de los inmuebles, originados en la contraprestación por la concesión o administración de los inmuebles y que serán destinados exclusivamente para el pago del pasivo laboral y pensional hasta su cancelación definitiva, momento en el cual se podrán destinar a las demás finalidades establecidas en la ley.</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2. Los recursos de empréstitos para atender de manera oportuna las obligaciones para el pago del pasivo laboral y pensional.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3. Las donaciones que reciba.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4. Los rendimientos financieros generados por la inversión de los anteriores recursos.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5. Los recursos que reciba el Fondo Nacional de Turismo (</w:t>
      </w:r>
      <w:proofErr w:type="spellStart"/>
      <w:r w:rsidRPr="00BC5DA9">
        <w:rPr>
          <w:rFonts w:ascii="Century Gothic" w:eastAsia="Times New Roman" w:hAnsi="Century Gothic" w:cs="Segoe UI"/>
          <w:lang w:eastAsia="es-MX"/>
        </w:rPr>
        <w:t>Fontur</w:t>
      </w:r>
      <w:proofErr w:type="spellEnd"/>
      <w:r w:rsidRPr="00BC5DA9">
        <w:rPr>
          <w:rFonts w:ascii="Century Gothic" w:eastAsia="Times New Roman" w:hAnsi="Century Gothic" w:cs="Segoe UI"/>
          <w:lang w:eastAsia="es-MX"/>
        </w:rPr>
        <w:t>) provenientes de la contribución parafiscal del turismo que sean asignados al fondo cuenta para atender las obligaciones laborales y pensionales del sector hotelero.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Los recursos de </w:t>
      </w:r>
      <w:proofErr w:type="spellStart"/>
      <w:r w:rsidRPr="00BC5DA9">
        <w:rPr>
          <w:rFonts w:ascii="Century Gothic" w:eastAsia="Times New Roman" w:hAnsi="Century Gothic" w:cs="Segoe UI"/>
          <w:lang w:eastAsia="es-MX"/>
        </w:rPr>
        <w:t>Fontur</w:t>
      </w:r>
      <w:proofErr w:type="spellEnd"/>
      <w:r w:rsidRPr="00BC5DA9">
        <w:rPr>
          <w:rFonts w:ascii="Century Gothic" w:eastAsia="Times New Roman" w:hAnsi="Century Gothic" w:cs="Segoe UI"/>
          <w:lang w:eastAsia="es-MX"/>
        </w:rPr>
        <w:t xml:space="preserve"> que se destinen al propósito señalado en el presente artículo serán limitados y transitorios. Estarán restringidos al pago del pasivo pensional de la entidad receptora de los recursos mientras se completa el fondeo necesario. Cumplida esta meta, los recursos regresarán a su objetivo de promoción turística.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Sistema de Información de Metrología Legal y Sistema de Certificados de Conformidad</w:t>
      </w:r>
      <w:r w:rsidRPr="00BC5DA9">
        <w:rPr>
          <w:rFonts w:ascii="Century Gothic" w:eastAsia="Times New Roman" w:hAnsi="Century Gothic" w:cs="Segoe UI"/>
          <w:lang w:eastAsia="es-MX"/>
        </w:rPr>
        <w:t>. Créase el Sistema de Información de Metrología Legal (</w:t>
      </w:r>
      <w:proofErr w:type="spellStart"/>
      <w:r w:rsidRPr="00BC5DA9">
        <w:rPr>
          <w:rFonts w:ascii="Century Gothic" w:eastAsia="Times New Roman" w:hAnsi="Century Gothic" w:cs="Segoe UI"/>
          <w:lang w:eastAsia="es-MX"/>
        </w:rPr>
        <w:t>Simel</w:t>
      </w:r>
      <w:proofErr w:type="spellEnd"/>
      <w:r w:rsidRPr="00BC5DA9">
        <w:rPr>
          <w:rFonts w:ascii="Century Gothic" w:eastAsia="Times New Roman" w:hAnsi="Century Gothic" w:cs="Segoe UI"/>
          <w:lang w:eastAsia="es-MX"/>
        </w:rPr>
        <w:t>), administrado por la Superintendencia de Industria y Comercio, en el cual se deberán registrar los productores e importadores, los reparadores y los usuarios o titulares de instrumentos de medición sujetos a control metrológico. La Superintendencia de Industria y Comercio designará mediante acto administrativo a los Organismos Autorizados de Verificación Metrológica (OAVM), las zonas geográficas en que actuarán de forma exclusiva, los instrumentos de medición que verificarán.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Cada verificación del OAVM dará lugar al pago de un derecho por parte de los solicitantes de acuerdo con los montos que establezca anualmente la Superintendencia de Industria y Comercio, y en cuya fijación tendrá en cuenta la </w:t>
      </w:r>
      <w:r w:rsidRPr="00BC5DA9">
        <w:rPr>
          <w:rFonts w:ascii="Century Gothic" w:eastAsia="Times New Roman" w:hAnsi="Century Gothic" w:cs="Segoe UI"/>
          <w:lang w:eastAsia="es-MX"/>
        </w:rPr>
        <w:lastRenderedPageBreak/>
        <w:t>recuperación de los costos involucrados, correspondientes a materiales, insumos, suministros, personal, traslado y todos aquellos que incidan directamente en el desarrollo de la actividad. En caso de un usuario titular de un instrumento de medición sujeto a control metrológico impida, obstruya o no cancele los costos de la verificación del instrumento, se ordenará la suspensión inmediata de su utilización hasta que se realice su verificación, sin perjuicio de las sanciones establecidas en el artículo 61 de la Ley 1480 de 2011. La Superintendencia de Industria y Comercio determinará la gradualidad con que se implemente el sistema, tanto territorialmente como de los instrumentos de medición que se incorporarán al Sistema.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Créase también el Sistema de Información de Certificados de Conformidad (</w:t>
      </w:r>
      <w:proofErr w:type="spellStart"/>
      <w:r w:rsidRPr="00BC5DA9">
        <w:rPr>
          <w:rFonts w:ascii="Century Gothic" w:eastAsia="Times New Roman" w:hAnsi="Century Gothic" w:cs="Segoe UI"/>
          <w:lang w:eastAsia="es-MX"/>
        </w:rPr>
        <w:t>Sicerco</w:t>
      </w:r>
      <w:proofErr w:type="spellEnd"/>
      <w:r w:rsidRPr="00BC5DA9">
        <w:rPr>
          <w:rFonts w:ascii="Century Gothic" w:eastAsia="Times New Roman" w:hAnsi="Century Gothic" w:cs="Segoe UI"/>
          <w:lang w:eastAsia="es-MX"/>
        </w:rPr>
        <w:t>), administrado por la Superintendencia de Industria y Comercio, en el cual los organismos de certificación e inspección acreditados por el organismo nacional de acreditación deberán registrar vía electrónica todos los certificados de conformidad que emitan respecto de productos sujetos al cumplimiento de reglamentos técnicos vigilados por dicha superintendencia. La Superintendencia de Industria y Comercio reglamentará lo relativo a dicho Sistema.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El Sistema de Información de Metrología Legal y Sistema de Certificados se articulará a la coordinación nacional de la metrología científica e industrial, y demás funciones y atribuciones lideradas por el Instituto Nacional de Metrología o quien haga sus veces, y contribuirá con la formulación de las políticas en materia metrológica.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El Sistema de Información de Metrología Legal y Sistema de Certificados apoyará la función del Instituto Nacional de Metrología para proporcionar servicios de calibración a los patrones de medición de los laboratorios, centros de investigación, a la industria u otros interesados, cuando así se solicite de conformidad con las tasas que establezca la ley para el efecto.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Subsidios de energía eléctrica y gas</w:t>
      </w:r>
      <w:r w:rsidRPr="00BC5DA9">
        <w:rPr>
          <w:rFonts w:ascii="Century Gothic" w:eastAsia="Times New Roman" w:hAnsi="Century Gothic" w:cs="Segoe UI"/>
          <w:lang w:eastAsia="es-MX"/>
        </w:rPr>
        <w:t>. Los subsidios establecidos en el artículo 3° de la Ley 1117 de 2006, prorrogados a su vez por el artículo 1° de la Ley 1428 de 2010 y por el artículo 76° de la Ley 1739 de 2014, se prorrogan, como máximo, hasta el 31 de diciembre de 2018.</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Condiciones especiales de prestación de servicio en zonas de difícil acceso</w:t>
      </w:r>
      <w:r w:rsidRPr="00BC5DA9">
        <w:rPr>
          <w:rFonts w:ascii="Century Gothic" w:eastAsia="Times New Roman" w:hAnsi="Century Gothic" w:cs="Segoe UI"/>
          <w:lang w:eastAsia="es-MX"/>
        </w:rPr>
        <w:t>. La Comisión de Regulación de Energía y Gas (CREG) establecerá condiciones especiales de prestación del servicio a los usuarios ubicados en zonas de difícil acceso dentro del Sistema Interconectado Nacional, que permitan aumentar la cobertura, disminuir los costos de comercialización y mitigar el riesgo de cartera, tales como la exigencia de medidores prepago, sistemas de suspensión remota, facturación mediante estimación del consumo y ciclos flexibles de facturación, medición y recaudo, entre otros esquemas.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zonas de difícil acceso de que trata el presente artículo son diferentes de las Zonas Especiales que establece la Ley 812 de 2003, Áreas Rurales de Menor Desarrollo, Zonas de Difícil Gestión y Barrios Subnormales.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Gobierno nacional definirá esquemas diferenciales para la prestación de los servicios de acueducto, alcantarillado y aseo en zonas rurales, zonas de difícil acceso, áreas de difícil gestión y áreas de prestación, en las cuales por condiciones particulares no puedan alcanzarse los estándares de eficiencia, cobertura y calidad establecidos en la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 Comisión de Regulación de Agua y Saneamiento Básico (CRA) desarrollará la regulación necesaria para esquemas diferenciales de prestación de los servicios de acueducto, alcantarillado y aseo previstos en el presente artículo.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Mecanismos para el trabajo bajo el amparo de un título en la pequeña minería</w:t>
      </w:r>
      <w:r w:rsidRPr="00BC5DA9">
        <w:rPr>
          <w:rFonts w:ascii="Century Gothic" w:eastAsia="Times New Roman" w:hAnsi="Century Gothic" w:cs="Segoe UI"/>
          <w:lang w:eastAsia="es-MX"/>
        </w:rPr>
        <w:t>. Son mecanismos para el trabajo bajo el amparo de un título minero, los siguientes: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1.</w:t>
      </w:r>
      <w:r w:rsidRPr="00BC5DA9">
        <w:rPr>
          <w:rFonts w:ascii="Century Gothic" w:eastAsia="Times New Roman" w:hAnsi="Century Gothic" w:cs="Segoe UI"/>
          <w:lang w:eastAsia="es-MX"/>
        </w:rPr>
        <w:t xml:space="preserve"> Subcontrato de formalización minera. Los explotadores mineros de pequeña escala o pequeños mineros que se encuentren adelantando actividades de explotación antes del 15 de julio de 2013 dentro de áreas ocupadas por un título minero, previa autorización de la autoridad minera competente, podrán suscribir subcontratos de formalización minera con el titular minero para continuar adelantando su explotación.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 Autoridad Minera Nacional efectuará la respectiva anotación en el Registro Minero Nacional en un término no mayor a los quince (15) días hábiles siguientes a la aprobación del subcontrato de formalización por parte de la autoridad minera competente.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subcontrato de formalización se suscribirá por un periodo no inferior a cuatro (4) años prorrogable de manera sucesiva.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 suscripción de un subcontrato de formalización minera no implicará la división o fraccionamiento del título minero en cuya área se otorga el derecho a realizar actividades de explotación minera. No obstante, podrán adelantarse labores de auditoría o fiscalización diferencial e independiente a quienes sean beneficiarios de uno de estos subcontratos. El titular del subcontrato de formalización deberá tramitar y obtener la correspondiente licencia ambiental. En el caso en el que el título minero cuente con dicho instrumento, este podrá ser cedido en los términos de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Autorizado el subcontrato de formalización minera, el subcontratista tendrá bajo su responsabilidad la totalidad de las obligaciones inherentes a la explotación de minerales dentro del área del subcontrato, así como las sanciones derivadas del incumplimiento normativo o legal. No obstante, cuando el área objeto del subcontrato de formalización esté amparada por licencia ambiental otorgada al titular minero, este será responsable hasta que se ceda o se obtenga un nuevo instrumento ambiental para dicha área.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El titular minero solo podrá suscribir subcontratos de formalización minera hasta un treinta (30%) por ciento de su título minero, y estará en la obligación de informar a la Autoridad Minera cualquier anomalía en la ejecución del subcontrato, según la reglamentación que para el efecto expida el Gobierno 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2.</w:t>
      </w:r>
      <w:r w:rsidRPr="00BC5DA9">
        <w:rPr>
          <w:rFonts w:ascii="Century Gothic" w:eastAsia="Times New Roman" w:hAnsi="Century Gothic" w:cs="Segoe UI"/>
          <w:lang w:eastAsia="es-MX"/>
        </w:rPr>
        <w:t xml:space="preserve"> Devolución de áreas para la formalización minera. Entiéndase por devolución de áreas para la formalización minera, aquella realizada por el beneficiario de un título minero como resultado de un proceso de mediación efectuado por el Ministerio de Minas y Energía o la autoridad minera competente, o por decisión directa de este, con el fin de contribuir a la formalización de los pequeños mineros que hayan llevado a cabo su explotación en dicha área o a la reubicación de aquellos que se encuentran en un área distinta a la zona devuelta, y que la requieran debido a las restricciones ambientales o sociales que se presentan en el lugar donde están ejerciendo sus labores.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Cuando se trate de reubicación, los pequeños mineros deberán tramitar y obtener previo al inicio de las actividades de explotación el respectivo título minero y la correspondiente licencia ambiental, de conformidad con la normatividad vigente. En el evento de no obtenerse dichas autorizaciones el área será liberada para ser otorgada por el régimen ordinario.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beneficiarios de títulos mineros podrán devolver áreas para la formalización, en cualquier etapa del título, no obstante, en la etapa de exploración esta devolución solo podrá realizarse como resultado de un proceso de mediación. La Autoridad Minera dará trámite inmediato a la devolución de estas áreas.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áreas devueltas serán administradas por la Autoridad Minera Nacional para el desarrollo de proyectos de formalización minera. Si contados dos (2) años a partir de la fecha en que haya sido aceptada la devolución por parte de la Autoridad Minera Nacional las áreas no han sido asignadas para la formalización estas serán liberadas para ser otorgadas mediante el régimen ordinario. Los instrumentos mineros y ambientales para el desarrollo de las actividades mineras a pequeña escala en las áreas objeto de devolución, serán el título minero y la correspondiente licencia ambiental, con el fin de garantizar la explotación racional de los recursos y apoyar a los mineros a formalizar. El Gobierno nacional reglamentará la materia, al igual que las condiciones para la aceptación de la devolución de áreas para los fines de formalización.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 Autoridad Minera tendrá un plazo de dos (2) años contados a partir de la expedición de esta ley para resolver las solicitudes de legalización de minería de hecho y las solicitudes de formalización de minería tradicional que actualmente están en curso.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Mientras los pequeños mineros de que trata el presente artículo obtienen la respectiva autorización ambiental deberán aplicar las guías ambientales expedidas por el Ministerio de Ambiente y Desarrollo Sostenible, caso en el cual no habrá lugar a proceder, respecto de los interesados, mediante la medida prevista en el artículo 161 de la Ley 685 de 2001, sin perjuicio de las </w:t>
      </w:r>
      <w:r w:rsidRPr="00BC5DA9">
        <w:rPr>
          <w:rFonts w:ascii="Century Gothic" w:eastAsia="Times New Roman" w:hAnsi="Century Gothic" w:cs="Segoe UI"/>
          <w:lang w:eastAsia="es-MX"/>
        </w:rPr>
        <w:lastRenderedPageBreak/>
        <w:t>acciones administrativas ambientales que deban imponerse por parte de las autoridades ambientales competentes, en caso de daño ambiental.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Así mismo, el incumplimiento por parte de los pequeños mineros de que trata el presente artículo en la aplicación de la guía ambiental dará lugar a la terminación del subcontrato de formalización o a la exclusión del área.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Cuando las actividades de los pequeños mineros en proceso de formalización no obtengan las autorizaciones ambientales o mineras, estos serán responsables de la restauración y recuperación de las áreas intervenidas por la actividad objeto de formalización.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3°.</w:t>
      </w:r>
      <w:r w:rsidRPr="00BC5DA9">
        <w:rPr>
          <w:rFonts w:ascii="Century Gothic" w:eastAsia="Times New Roman" w:hAnsi="Century Gothic" w:cs="Segoe UI"/>
          <w:lang w:eastAsia="es-MX"/>
        </w:rPr>
        <w:t xml:space="preserve"> No podrán constituirse áreas para la formalización minera o celebrarse subcontratos de formalización en las zonas de </w:t>
      </w:r>
      <w:proofErr w:type="spellStart"/>
      <w:r w:rsidRPr="00BC5DA9">
        <w:rPr>
          <w:rFonts w:ascii="Century Gothic" w:eastAsia="Times New Roman" w:hAnsi="Century Gothic" w:cs="Segoe UI"/>
          <w:lang w:eastAsia="es-MX"/>
        </w:rPr>
        <w:t>que</w:t>
      </w:r>
      <w:proofErr w:type="spellEnd"/>
      <w:r w:rsidRPr="00BC5DA9">
        <w:rPr>
          <w:rFonts w:ascii="Century Gothic" w:eastAsia="Times New Roman" w:hAnsi="Century Gothic" w:cs="Segoe UI"/>
          <w:lang w:eastAsia="es-MX"/>
        </w:rPr>
        <w:t xml:space="preserve"> trata la Ley 2ª de 1959, hasta tanto no se obtenga la correspondiente sustracción.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4°.</w:t>
      </w:r>
      <w:r w:rsidRPr="00BC5DA9">
        <w:rPr>
          <w:rFonts w:ascii="Century Gothic" w:eastAsia="Times New Roman" w:hAnsi="Century Gothic" w:cs="Segoe UI"/>
          <w:lang w:eastAsia="es-MX"/>
        </w:rPr>
        <w:t xml:space="preserve"> Las autoridades ambientales ante quienes se hayan presentado solicitudes de instrumentos de manejo y control ambiental de actividades mineras de pequeña escala amparada por títulos mineros y que no hayan sido resueltas en los términos previstos por los procedimientos que regulan la materia, deberán pronunciarse de fondo y de manera inmediata sobre las mismas, so pena de hacerse acreedor el funcionario responsable de sanción disciplinaria por falta grave.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20.</w:t>
      </w:r>
      <w:r w:rsidRPr="00BC5DA9">
        <w:rPr>
          <w:rFonts w:ascii="Century Gothic" w:eastAsia="Times New Roman" w:hAnsi="Century Gothic" w:cs="Segoe UI"/>
          <w:lang w:eastAsia="es-MX"/>
        </w:rPr>
        <w:t xml:space="preserve"> Áreas de reserva para el desarrollo minero. Las áreas de reserva para el desarrollo minero serán las siguientes: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Áreas de Reserva Estratégica Mineras: La Autoridad Minera Nacional determinará los minerales de interés estratégico para el país, respecto de los cuales, con base en la información </w:t>
      </w:r>
      <w:proofErr w:type="spellStart"/>
      <w:r w:rsidRPr="00BC5DA9">
        <w:rPr>
          <w:rFonts w:ascii="Century Gothic" w:eastAsia="Times New Roman" w:hAnsi="Century Gothic" w:cs="Segoe UI"/>
          <w:lang w:eastAsia="es-MX"/>
        </w:rPr>
        <w:t>geocientífica</w:t>
      </w:r>
      <w:proofErr w:type="spellEnd"/>
      <w:r w:rsidRPr="00BC5DA9">
        <w:rPr>
          <w:rFonts w:ascii="Century Gothic" w:eastAsia="Times New Roman" w:hAnsi="Century Gothic" w:cs="Segoe UI"/>
          <w:lang w:eastAsia="es-MX"/>
        </w:rPr>
        <w:t xml:space="preserve"> disponible, podrá delimitar indefinidamente áreas especiales que se encuentren libres.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Estas áreas serán objeto de evaluación sobre su potencial minero, para lo cual se deberán adelantar estudios geológicos mineros por parte del Servicio Geológico Colombiano y/o por terceros contratados por la Autoridad Minera Nacional. Con base en dicha evaluación, esta Autoridad seleccionará las áreas que presenten un alto potencial minero.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Estas áreas se otorgarán mediante proceso de selección objetiva. En los términos de referencia de este proceso, la Autoridad Nacional Minera establecerá los requisitos mínimos de participación, los factores de calificación, las obligaciones especiales del concesionario y podrá establecer las contraprestaciones económicas mínimas adicionales a las regalías. Sobre estas áreas no se recibirán nuevas propuestas ni se suscribirán contratos de concesión minera. Para estos efectos la Autoridad Minera contará con la colaboración del Ministerio de Ambiente y Desarrollo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La Autoridad Nacional Minera dará por terminada la delimitación, cuando las áreas evaluadas no sean seleccionadas, caso en el cual quedarán libres para ser otorgadas mediante el régimen ordinario del Código de Minas. Cuando no se presente licitante u oferente la Autoridad Nacional Minera podrá mantener la delimitación para un futuro proceso de selección sin perjuicio de darla por terminada en cualquier tiempo.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Gobierno nacional reglamentará la materia a que aluden los incisos anteriores. En los Contratos Especiales de Exploración y Explotación que se deriven de estas delimitaciones, se podrán establecer reglas y obligaciones especiales adicionales o distintas a las establecidas en el Código de Minas.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Por su parte, la información geológica, geoquímica y geofísica que el Servicio Geológico Colombiano genere a partir de la declaratoria de las áreas estratégicas mineras por parte de la Autoridad Minera y que permita evaluar el potencial mineral de tales áreas, tendrá el carácter de reservada por el mismo término en que la Autoridad Minera declare dichas zonas como estratégicas mineras o hasta tanto deba darse a conocer en desarrollo de los procesos de selección objetiva que adelante la Autoridad Minera para el otorgamiento de contratos de concesión especial en estas áreas.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Áreas de Reserva para la formalización: La Autoridad Minera Nacional podrá delimitar áreas de Reserva Estratégica Minera para la formalización de pequeños mineros, sobre áreas libres o aquellas que sean entregadas a través de la figura de devolución de áreas para la formalización minera.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Áreas de Reserva para el desarrollo minero-energético: El Ministerio de Minas y Energía delimitará las zonas estratégicas para el desarrollo minero-energético en un término no mayor de doce (12) meses, contados a partir de la entrada en vigencia de la presente ley. Estas zonas se declaran por un término de dos (2) años prorrogables por el mismo término y su objetivo es permitir el manejo ordenado de los recursos naturales no renovables propendiendo por la maximización del uso de los recursos ajustándose a las mejores prácticas internacionalmente aceptadas.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Sobre estas áreas no se recibirán nuevas propuestas ni se suscribirán contratos de concesión minera de carbón. Lo anterior con el fin de que estas áreas sean otorgadas por la autoridad correspondiente a través de un proceso de selección objetiva, en el cual dicha autoridad establecerá los términos de referencia.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casos de superposiciones de áreas entre yacimientos no convencionales y títulos mineros, en virtud de un acuerdo operacional, la Autoridad Minera Nacional autorizará la suspensión de los títulos mineros sin afectar el tiempo contractual.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Ante la suspensión del título minero por la causal antes señalada, el titular minero podrá solicitar la modificación del instrumento de control ambiental, incluyendo </w:t>
      </w:r>
      <w:r w:rsidRPr="00BC5DA9">
        <w:rPr>
          <w:rFonts w:ascii="Century Gothic" w:eastAsia="Times New Roman" w:hAnsi="Century Gothic" w:cs="Segoe UI"/>
          <w:lang w:eastAsia="es-MX"/>
        </w:rPr>
        <w:lastRenderedPageBreak/>
        <w:t>un capítulo de cierre temporal. La autoridad ambiental tramitará dicha modificación.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No podrán ser áreas de reservas para el desarrollo minero las áreas delimitadas como páramos y humedales.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Las áreas estratégicas mineras creadas con base en el artículo 108 de la Ley 1450 de 2011 mantendrán su vigencia pero se sujetarán al régimen previsto en el presente artículo.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No podrán declararse áreas de reserva para el desarrollo minero en zonas de exclusión de conformidad con lo dispuesto por la normatividad vigente.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Clasificación de la Minería</w:t>
      </w:r>
      <w:r w:rsidRPr="00BC5DA9">
        <w:rPr>
          <w:rFonts w:ascii="Century Gothic" w:eastAsia="Times New Roman" w:hAnsi="Century Gothic" w:cs="Segoe UI"/>
          <w:lang w:eastAsia="es-MX"/>
        </w:rPr>
        <w:t>. Para efectos de implementar una política pública diferenciada, las actividades mineras estarán clasificadas en minería de subsistencia, pequeña, mediana y grande. El Gobierno nacional las definirá y establecerá los requisitos teniendo en cuenta el número de hectáreas y/o la producción de las unidades mineras según el tipo de mineral. Para la exploración solo se tendrán en cuenta las hectáreas.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A partir de la entrada en vigencia de la presente ley, la Autoridad Minera Nacional podrá adoptar un sistema de cuadrícula para delimitar el área objeto de los contratos de concesión minera, la cual será única y continua. Así mismo podrá adaptar al sistema de cuadrículas los títulos mineros otorgados con anterioridad a la entrada en vigencia de la presente ley, en caso de que el beneficiario de estos así lo decida.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Capacidad económica y gestión social</w:t>
      </w:r>
      <w:r w:rsidRPr="00BC5DA9">
        <w:rPr>
          <w:rFonts w:ascii="Century Gothic" w:eastAsia="Times New Roman" w:hAnsi="Century Gothic" w:cs="Segoe UI"/>
          <w:lang w:eastAsia="es-MX"/>
        </w:rPr>
        <w:t>. La Autoridad Minera Nacional para el otorgamiento de títulos mineros y cesiones de derechos y de áreas requerirá a los interesados acreditar la capacidad económica para la exploración, explotación, desarrollo y ejecución del proyecto minero.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los contratos de concesión que suscriba la Autoridad Minera Nacional a partir de la vigencia de la presente ley, se deberá incluir la obligación del concesionario de elaborar y ejecutar Planes de Gestión Social que contengan los programas, proyectos y actividades que serán determinados por la Autoridad Minera de acuerdo a la escala de producción y capacidad técnica y económica de los titulares. La verificación del cumplimiento de esta obligación por parte de la Autoridad Minera hará parte del proceso de fiscalización y podrá financiarse con las mismas fuentes.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La capacidad económica de que trata este artículo no le es aplicable a las propuestas de contrato de concesión presentadas antes de la entrada en vigencia de la presente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Integración de áreas</w:t>
      </w:r>
      <w:r w:rsidRPr="00BC5DA9">
        <w:rPr>
          <w:rFonts w:ascii="Century Gothic" w:eastAsia="Times New Roman" w:hAnsi="Century Gothic" w:cs="Segoe UI"/>
          <w:lang w:eastAsia="es-MX"/>
        </w:rPr>
        <w:t>. Adiciónese un parágrafo al artículo 101 de la Ley 685 de 2001,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w:t>
      </w:r>
      <w:r w:rsidRPr="00BC5DA9">
        <w:rPr>
          <w:rFonts w:ascii="Century Gothic" w:eastAsia="Times New Roman" w:hAnsi="Century Gothic" w:cs="Segoe UI"/>
          <w:b/>
          <w:bCs/>
          <w:lang w:eastAsia="es-MX"/>
        </w:rPr>
        <w:t>Parágrafo</w:t>
      </w:r>
      <w:r w:rsidRPr="00BC5DA9">
        <w:rPr>
          <w:rFonts w:ascii="Century Gothic" w:eastAsia="Times New Roman" w:hAnsi="Century Gothic" w:cs="Segoe UI"/>
          <w:lang w:eastAsia="es-MX"/>
        </w:rPr>
        <w:t>. En caso de solicitarse por parte del beneficiario de un título minero de cualquier régimen o modalidad la integración de áreas, así estas no sean vecinas o colindantes, pero que pertenezcan a un mismo yacimiento, la Autoridad Minera Nacional podrá proceder a su integración, caso en el cual podrá acordar nuevos requisitos contractuales y pactar contraprestaciones adicionales distintas a las regalías. El Gobierno nacional reglamentará la materia.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En ningún caso la integración solicitada dará lugar a prórrogas a los títulos mineros”.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Cierre de minas. </w:t>
      </w:r>
      <w:r w:rsidRPr="00BC5DA9">
        <w:rPr>
          <w:rFonts w:ascii="Century Gothic" w:eastAsia="Times New Roman" w:hAnsi="Century Gothic" w:cs="Segoe UI"/>
          <w:lang w:eastAsia="es-MX"/>
        </w:rPr>
        <w:t>El Gobierno nacional establecerá las condiciones ambientales, técnicas, financieras, sociales y demás que deberá observar el titular minero al momento de ejecutar el plan de cierre y abandono de minas, incluyendo el aprovisionamiento de recursos para tal fin y/o sus garantías. Adicionalmente, se establecerá el procedimiento para la aprobación del mencionado plan y el cumplimiento de esta obligación.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El plan de cierre y abandono debe establecerse desde la etapa de explotación incluida la etapa de construcción y montaje. Esta obligación se extiende a los titulares de autorizaciones temporales.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El Gobierno nacional deberá establecer y liderar la puesta en marcha de una estrategia integral para la identificación, atención y remediación ambiental de las áreas mineras en situación de abandono o que hayan sido afectadas por extracción ilícita de minerales especialmente aquellas que representen una grave afectación ambiental, un riesgo para las personas, sus bienes y actividades, e infraestructura de línea vital.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Sanciones en distribución de combustibles</w:t>
      </w:r>
      <w:r w:rsidRPr="00BC5DA9">
        <w:rPr>
          <w:rFonts w:ascii="Century Gothic" w:eastAsia="Times New Roman" w:hAnsi="Century Gothic" w:cs="Segoe UI"/>
          <w:lang w:eastAsia="es-MX"/>
        </w:rPr>
        <w:t xml:space="preserve">. Los agentes de la cadena de distribución de combustibles líquidos y biocombustibles que transgredan las normas sobre el funcionamiento del servicio público que prestan dichos agentes, o que incumplan las órdenes del Ministerio de Minas y Energía sobre el particular, serán objeto de imposición de las siguientes sanciones, según la conducta: a) multa entre diez (10) y dos mil (2.000) salarios mínimos legales mensuales vigentes; b) suspensión del servicio entre diez (10) y noventa (90) días calendario y bloqueo del código </w:t>
      </w:r>
      <w:proofErr w:type="spellStart"/>
      <w:r w:rsidRPr="00BC5DA9">
        <w:rPr>
          <w:rFonts w:ascii="Century Gothic" w:eastAsia="Times New Roman" w:hAnsi="Century Gothic" w:cs="Segoe UI"/>
          <w:lang w:eastAsia="es-MX"/>
        </w:rPr>
        <w:t>Sicom</w:t>
      </w:r>
      <w:proofErr w:type="spellEnd"/>
      <w:r w:rsidRPr="00BC5DA9">
        <w:rPr>
          <w:rFonts w:ascii="Century Gothic" w:eastAsia="Times New Roman" w:hAnsi="Century Gothic" w:cs="Segoe UI"/>
          <w:lang w:eastAsia="es-MX"/>
        </w:rPr>
        <w:t xml:space="preserve">; c) cancelación de la autorización y bloqueo del código </w:t>
      </w:r>
      <w:proofErr w:type="spellStart"/>
      <w:r w:rsidRPr="00BC5DA9">
        <w:rPr>
          <w:rFonts w:ascii="Century Gothic" w:eastAsia="Times New Roman" w:hAnsi="Century Gothic" w:cs="Segoe UI"/>
          <w:lang w:eastAsia="es-MX"/>
        </w:rPr>
        <w:t>Sicom</w:t>
      </w:r>
      <w:proofErr w:type="spellEnd"/>
      <w:r w:rsidRPr="00BC5DA9">
        <w:rPr>
          <w:rFonts w:ascii="Century Gothic" w:eastAsia="Times New Roman" w:hAnsi="Century Gothic" w:cs="Segoe UI"/>
          <w:lang w:eastAsia="es-MX"/>
        </w:rPr>
        <w:t>; d) decomiso administrativo permanente.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El Ministerio de Minas y Energía o la autoridad delegada, decretará como medida preventiva dentro del procedimiento sancionatorio, la suspensión de la actividad de la cadena de distribución cuando pueda derivarse algún daño o peligro, o cuando la actividad se ejerce sin en el lleno de los requisitos, permisos o autorizaciones para su funcionamiento, para lo cual procederá a bloquear el código </w:t>
      </w:r>
      <w:proofErr w:type="spellStart"/>
      <w:r w:rsidRPr="00BC5DA9">
        <w:rPr>
          <w:rFonts w:ascii="Century Gothic" w:eastAsia="Times New Roman" w:hAnsi="Century Gothic" w:cs="Segoe UI"/>
          <w:lang w:eastAsia="es-MX"/>
        </w:rPr>
        <w:t>Sicom</w:t>
      </w:r>
      <w:proofErr w:type="spellEnd"/>
      <w:r w:rsidRPr="00BC5DA9">
        <w:rPr>
          <w:rFonts w:ascii="Century Gothic" w:eastAsia="Times New Roman" w:hAnsi="Century Gothic" w:cs="Segoe UI"/>
          <w:lang w:eastAsia="es-MX"/>
        </w:rPr>
        <w:t>. Lo anterior, con el fin de proteger, prevenir o impedir la ocurrencia de un hecho, actuación y/o daño que atente contra la vida, la integridad de las personas, la seguridad, el medio ambiente o intereses jurídicos superiores.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Las autoridades de policía a nivel municipal podrán realizar los decomisos temporales de productos, elementos, medios o implementos utilizados para cometer la infracción a las normas que regulan la cadena de distribución de combustibles líquidos y biocombustibles. De lo anterior informará al Ministerio de Minas y Energía o a la autoridad competente a efectos de iniciar los procedimientos administrativos que sean del caso.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Multas en el sector de hidrocarburos</w:t>
      </w:r>
      <w:r w:rsidRPr="00BC5DA9">
        <w:rPr>
          <w:rFonts w:ascii="Century Gothic" w:eastAsia="Times New Roman" w:hAnsi="Century Gothic" w:cs="Segoe UI"/>
          <w:lang w:eastAsia="es-MX"/>
        </w:rPr>
        <w:t>. Modifíquese el artículo 67 del Decreto número 1056 de 1953,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67. </w:t>
      </w:r>
      <w:r w:rsidRPr="00BC5DA9">
        <w:rPr>
          <w:rFonts w:ascii="Century Gothic" w:eastAsia="Times New Roman" w:hAnsi="Century Gothic" w:cs="Segoe UI"/>
          <w:lang w:eastAsia="es-MX"/>
        </w:rPr>
        <w:t>El Ministerio de Minas y Energía podrá imponer administrativamente multas entre dos mil (2.000) y cien mil (100.000) salarios mínimos legales mensuales vigentes (</w:t>
      </w:r>
      <w:proofErr w:type="spellStart"/>
      <w:r w:rsidRPr="00BC5DA9">
        <w:rPr>
          <w:rFonts w:ascii="Century Gothic" w:eastAsia="Times New Roman" w:hAnsi="Century Gothic" w:cs="Segoe UI"/>
          <w:lang w:eastAsia="es-MX"/>
        </w:rPr>
        <w:t>smmlv</w:t>
      </w:r>
      <w:proofErr w:type="spellEnd"/>
      <w:r w:rsidRPr="00BC5DA9">
        <w:rPr>
          <w:rFonts w:ascii="Century Gothic" w:eastAsia="Times New Roman" w:hAnsi="Century Gothic" w:cs="Segoe UI"/>
          <w:lang w:eastAsia="es-MX"/>
        </w:rPr>
        <w:t>), en cada caso, por el incumplimiento de las obligaciones que se establecen en el Código de Petróleos, cuando el incumplimiento no deba producir caducidad de contratos o cancelación de permisos, o cuando el Gobierno prefiera optar por esta sanción y no declarar la caducidad en los casos pertinentes del artículo siguiente”.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Canon superficiario</w:t>
      </w:r>
      <w:r w:rsidRPr="00BC5DA9">
        <w:rPr>
          <w:rFonts w:ascii="Century Gothic" w:eastAsia="Times New Roman" w:hAnsi="Century Gothic" w:cs="Segoe UI"/>
          <w:lang w:eastAsia="es-MX"/>
        </w:rPr>
        <w:t>. Modifíquese el artículo 230 de la Ley 685 de 2001,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230. </w:t>
      </w:r>
      <w:r w:rsidRPr="00BC5DA9">
        <w:rPr>
          <w:rFonts w:ascii="Century Gothic" w:eastAsia="Times New Roman" w:hAnsi="Century Gothic" w:cs="Segoe UI"/>
          <w:b/>
          <w:bCs/>
          <w:i/>
          <w:iCs/>
          <w:lang w:eastAsia="es-MX"/>
        </w:rPr>
        <w:t>Canon superficiario</w:t>
      </w:r>
      <w:r w:rsidRPr="00BC5DA9">
        <w:rPr>
          <w:rFonts w:ascii="Century Gothic" w:eastAsia="Times New Roman" w:hAnsi="Century Gothic" w:cs="Segoe UI"/>
          <w:b/>
          <w:bCs/>
          <w:lang w:eastAsia="es-MX"/>
        </w:rPr>
        <w:t xml:space="preserve">. </w:t>
      </w:r>
      <w:r w:rsidRPr="00BC5DA9">
        <w:rPr>
          <w:rFonts w:ascii="Century Gothic" w:eastAsia="Times New Roman" w:hAnsi="Century Gothic" w:cs="Segoe UI"/>
          <w:lang w:eastAsia="es-MX"/>
        </w:rPr>
        <w:t>El canon superficiario se pagará anualmente y de forma anticipada, sobre la totalidad del área de la concesión minera durante la etapa de exploración, acorde con los siguientes valores y periodos:</w:t>
      </w:r>
    </w:p>
    <w:p w:rsidR="002732EB" w:rsidRPr="00BC5DA9" w:rsidRDefault="002732EB" w:rsidP="002732EB">
      <w:pPr>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293"/>
        <w:gridCol w:w="2748"/>
        <w:gridCol w:w="2835"/>
      </w:tblGrid>
      <w:tr w:rsidR="00BC5DA9" w:rsidRPr="00BC5D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Número de hectáreas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0 a 5 años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Más de 5** años hasta 8 años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Más de 8** años hasta 11 años</w:t>
            </w:r>
          </w:p>
        </w:tc>
      </w:tr>
      <w:tr w:rsidR="00BC5DA9" w:rsidRPr="00BC5D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SMDLV/h*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SMDLV/h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SMDLV/h</w:t>
            </w:r>
          </w:p>
        </w:tc>
      </w:tr>
      <w:tr w:rsidR="00BC5DA9" w:rsidRPr="00BC5D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1</w:t>
            </w:r>
          </w:p>
        </w:tc>
      </w:tr>
      <w:tr w:rsidR="00BC5DA9" w:rsidRPr="00BC5D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151 - 5.000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2</w:t>
            </w:r>
          </w:p>
        </w:tc>
      </w:tr>
      <w:tr w:rsidR="00BC5DA9" w:rsidRPr="00BC5D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5.001 - 10.000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jc w:val="center"/>
              <w:rPr>
                <w:rFonts w:ascii="Century Gothic" w:eastAsia="Times New Roman" w:hAnsi="Century Gothic" w:cs="Times New Roman"/>
                <w:sz w:val="16"/>
                <w:szCs w:val="16"/>
                <w:lang w:eastAsia="es-MX"/>
              </w:rPr>
            </w:pPr>
            <w:r w:rsidRPr="00BC5DA9">
              <w:rPr>
                <w:rFonts w:ascii="Century Gothic" w:eastAsia="Times New Roman" w:hAnsi="Century Gothic" w:cs="Segoe UI"/>
                <w:b/>
                <w:bCs/>
                <w:sz w:val="16"/>
                <w:szCs w:val="16"/>
                <w:lang w:eastAsia="es-MX"/>
              </w:rPr>
              <w:t>2</w:t>
            </w:r>
          </w:p>
        </w:tc>
      </w:tr>
      <w:tr w:rsidR="00BC5DA9" w:rsidRPr="00BC5DA9">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32EB" w:rsidRPr="00BC5DA9" w:rsidRDefault="002732EB" w:rsidP="002732EB">
            <w:pPr>
              <w:spacing w:after="0" w:line="240" w:lineRule="auto"/>
              <w:ind w:left="284"/>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Salario mínimo diario legal vigente/ hectárea.</w:t>
            </w:r>
          </w:p>
          <w:p w:rsidR="002732EB" w:rsidRPr="00BC5DA9" w:rsidRDefault="002732EB" w:rsidP="002732EB">
            <w:pPr>
              <w:spacing w:after="0" w:line="240" w:lineRule="auto"/>
              <w:ind w:left="284"/>
              <w:rPr>
                <w:rFonts w:ascii="Century Gothic" w:eastAsia="Times New Roman" w:hAnsi="Century Gothic" w:cs="Times New Roman"/>
                <w:sz w:val="16"/>
                <w:szCs w:val="16"/>
                <w:lang w:eastAsia="es-MX"/>
              </w:rPr>
            </w:pPr>
            <w:r w:rsidRPr="00BC5DA9">
              <w:rPr>
                <w:rFonts w:ascii="Century Gothic" w:eastAsia="Times New Roman" w:hAnsi="Century Gothic" w:cs="Segoe UI"/>
                <w:sz w:val="16"/>
                <w:szCs w:val="16"/>
                <w:lang w:eastAsia="es-MX"/>
              </w:rPr>
              <w:t>** A partir de cumplido el año más un día (5 A + 1 D, 8 A + 1 D).</w:t>
            </w:r>
          </w:p>
        </w:tc>
      </w:tr>
    </w:tbl>
    <w:p w:rsidR="002732EB" w:rsidRPr="00BC5DA9" w:rsidRDefault="002732EB" w:rsidP="002732EB">
      <w:pPr>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Estos valores son compatibles con las regalías y constituyen una contraprestación que se cobrará por la autoridad contratante sin consideración a quien tenga la propiedad o posesión de los terrenos de ubicación del contrato.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las etapas de construcción y montaje o exploración adicional, si a ello hay lugar, se continuará cancelando el valor equivalente al último canon pagado durante la etapa de exploración.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28.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Coyuntura del sector de hidrocarburos. </w:t>
      </w:r>
      <w:r w:rsidRPr="00BC5DA9">
        <w:rPr>
          <w:rFonts w:ascii="Century Gothic" w:eastAsia="Times New Roman" w:hAnsi="Century Gothic" w:cs="Segoe UI"/>
          <w:lang w:eastAsia="es-CO"/>
        </w:rPr>
        <w:t xml:space="preserve">La Agencia Nacional de Hidrocarburos, como responsable de la administración integral de las reservas y recursos de hidrocarburos propiedad de la nación, adoptará reglas de carácter general conforme a las cuales podrán adecuarse o ajustarse los contratos de exploración y explotación, y los contratos de evaluación técnica en materia </w:t>
      </w:r>
      <w:r w:rsidRPr="00BC5DA9">
        <w:rPr>
          <w:rFonts w:ascii="Century Gothic" w:eastAsia="Times New Roman" w:hAnsi="Century Gothic" w:cs="Segoe UI"/>
          <w:lang w:eastAsia="es-CO"/>
        </w:rPr>
        <w:lastRenderedPageBreak/>
        <w:t>económica, sin que bajo ninguna circunstancia se puedan reducir los compromisos de inversión inicialmente pactados.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 anterior, para efectos de hacer frente a situaciones adversas de caída de los precios internacionales de los hidrocarburos, en los niveles de producción, niveles de reserva, con el propósito de mitigar los efectos negativos de estos fenómenos en la economía nacional y en las finanzas públicas.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contratos y las modificaciones convenidas por las partes en desarrollo de los contratos de exploración y producción de hidrocarburos y de evaluación técnica serán públicos, incluyendo las cláusulas relacionadas con los compromisos en materia de inversión social, los programas de beneficio a las comunidades, así como las inversiones en materia ambiental, salvo en aquellos aspectos que se encuentren sometidos a reserva legal o amparados contractualmente por confidencialidad, de acuerdo con la Constitución y la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29.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Fomento a los proyectos de producción incremental</w:t>
      </w:r>
      <w:r w:rsidRPr="00BC5DA9">
        <w:rPr>
          <w:rFonts w:ascii="Century Gothic" w:eastAsia="Times New Roman" w:hAnsi="Century Gothic" w:cs="Segoe UI"/>
          <w:lang w:eastAsia="es-CO"/>
        </w:rPr>
        <w:t>. Todos los proyectos de producción incremental serán beneficiarios de lo establecido en el parágrafo 3° del artículo 16 de la Ley 756 de 2002, para lo cual se deberá obtener la aprobación previa del proyecto por parte del Ministerio de Minas y Energía, o quien haga sus veces en materia de fiscalización. Se entenderá por proyectos de producción incremental aquellos que incorporen nuevas reservas recuperables como consecuencia de inversiones adicionales que se realicen a partir de la fecha de promulgación de la presente ley, y las cuales se encuentren encaminadas a aumentar el factor de recobro de los yacimientos existentes.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Determinación de tarifas y tasa por servicios que presten los organismos de apoyo</w:t>
      </w:r>
      <w:r w:rsidRPr="00BC5DA9">
        <w:rPr>
          <w:rFonts w:ascii="Century Gothic" w:eastAsia="Times New Roman" w:hAnsi="Century Gothic" w:cs="Segoe UI"/>
          <w:lang w:eastAsia="es-CO"/>
        </w:rPr>
        <w:t>. Modifíquese el artículo 20 de la Ley 1702 de 2013,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20. </w:t>
      </w:r>
      <w:r w:rsidRPr="00BC5DA9">
        <w:rPr>
          <w:rFonts w:ascii="Century Gothic" w:eastAsia="Times New Roman" w:hAnsi="Century Gothic" w:cs="Segoe UI"/>
          <w:b/>
          <w:bCs/>
          <w:i/>
          <w:iCs/>
          <w:lang w:eastAsia="es-CO"/>
        </w:rPr>
        <w:t>Determinación de tarifas por servicios que presten los organismos de apoyo</w:t>
      </w:r>
      <w:r w:rsidRPr="00BC5DA9">
        <w:rPr>
          <w:rFonts w:ascii="Century Gothic" w:eastAsia="Times New Roman" w:hAnsi="Century Gothic" w:cs="Segoe UI"/>
          <w:b/>
          <w:bCs/>
          <w:lang w:eastAsia="es-CO"/>
        </w:rPr>
        <w:t xml:space="preserve">. </w:t>
      </w:r>
      <w:r w:rsidRPr="00BC5DA9">
        <w:rPr>
          <w:rFonts w:ascii="Century Gothic" w:eastAsia="Times New Roman" w:hAnsi="Century Gothic" w:cs="Segoe UI"/>
          <w:lang w:eastAsia="es-CO"/>
        </w:rPr>
        <w:t>El Ministerio de Transporte definirá mediante resolución, en un plazo no mayor a noventa (90) días contados a partir de la entrada en vigencia de la presente ley, las condiciones, características de seguridad y el rango de precios al usuario dentro del cual se deben ofrecer los servicios que prestan los Centros de Enseñanza Automovilística, los de Reconocimiento y Evaluación de Conductores, los de Diagnóstico Automotor, y los que realicen la prueba teórico-práctica para la obtención de licencias de conducción expresado en salarios mínimos diarios vigentes. Se efectuará un estudio de costos directos e indirectos considerando las particularidades, infraestructura y requerimientos de cada servicio para la fijación de la tarifa. Para la determinación de los valores que por cada servicio deben transferirse al Fondo Nacional de Seguridad Vial, se aplicará el siguiente procedimiento: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Se tomará el valor del presupuesto de la Agencia Nacional de Seguridad Vial ejecutado en el año inmediatamente anterior, certificado por el responsable del presupuesto.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2. Se definirá el número de servicios acumulados en el mismo período por los cuatro (4) grupos de organismos de apoyo (Centros de Enseñanza Automovilística, los de Reconocimiento de Conductores, los de Diagnóstico Automotor y los que realicen la prueba teórico-práctica para la obtención de licencias de conducción), dividiendo el valor del numeral precedente en el número de servicios.</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El producto de dividir la operación se tendrá como base del cálculo individual de cada tasa.</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4. La tasa final de cada servicio corresponderá al cálculo individual multiplicado por factores numéricos inferiores a uno (1) en función de la pertenencia de cada usuario o de su vehículo (en el caso de los Centros de Diagnóstico Automotor) a grupos de riesgo con base en criterios como edad, tipo de licencia, clase de vehículo, servicio u otros que permitan estimar el riesgo de accidente, tomados con base en las estadísticas oficiales sobre fallecidos y lesionados. Los factores serán crecientes o decrecientes en función de la mayor o menor participación en accidentes, respectivamente.</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5. Una vez definido el valor de la tasa individual, esta se acumulará al valor de la tarifa para cada servicio.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ningún caso la tasa final al usuario podrá superar medio (0,5) salario mínimo diario en las tarifas que cobren los Centros de Reconocimiento de Conductores, de Diagnóstico Automotor y los que realicen la prueba teórico-práctica para la obtención de licencias de conducción y un (1) salario mínimo diario en los Centros de Enseñanza Automovilística.</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Se determinará el porcentaje correspondiente que se girará con destino al Fondo Nacional de Seguridad Vial y la parte que se destinará como remuneración de los organismos de apoyo de qué trata este artículo.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 Agencia Nacional de Seguridad Vial, con cargo a los recursos mencionados en el presente artículo y los demás ingresos del Fondo Nacional de Seguridad Vial, podrá apoyar a las autoridades de tránsito que requieran intervención con base en sus indicadores de seguridad vial, así como a la Policía Nacional a través de convenios que tendrán por objeto, tanto las acciones de fortalecimiento institucional, como las preventivas y de control, incluyendo, cuando proceda, el uso de dispositivos de detección de aquellas infracciones de tránsito que generen mayor riesgo de accidente.</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 Agencia Nacional de Seguridad Vial transferirá al Instituto Nacional de Medicina Legal y Ciencias Forenses, uno coma cinco (1,5) salarios mínimos mensuales legales vigentes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xml:space="preserve">) por cada necropsia médico legal registrada en el mes anterior por causa o con ocasión de accidentes de tránsito, una vez remita la información de fallecimientos y lesiones bajo las condiciones de reporte fijadas por el Ministerio de </w:t>
      </w:r>
      <w:r w:rsidRPr="00BC5DA9">
        <w:rPr>
          <w:rFonts w:ascii="Century Gothic" w:eastAsia="Times New Roman" w:hAnsi="Century Gothic" w:cs="Segoe UI"/>
          <w:lang w:eastAsia="es-CO"/>
        </w:rPr>
        <w:lastRenderedPageBreak/>
        <w:t>Transporte. Los valores estarán destinados al financiamiento de las actividades médico legales y de información relacionadas con accidentes y hechos de tránsito”.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Financiación de sistemas de transporte</w:t>
      </w:r>
      <w:r w:rsidRPr="00BC5DA9">
        <w:rPr>
          <w:rFonts w:ascii="Century Gothic" w:eastAsia="Times New Roman" w:hAnsi="Century Gothic" w:cs="Segoe UI"/>
          <w:lang w:eastAsia="es-CO"/>
        </w:rPr>
        <w:t>. Modifíquese el artículo 14 de la Ley 86 de 1989,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14. </w:t>
      </w:r>
      <w:r w:rsidRPr="00BC5DA9">
        <w:rPr>
          <w:rFonts w:ascii="Century Gothic" w:eastAsia="Times New Roman" w:hAnsi="Century Gothic" w:cs="Segoe UI"/>
          <w:b/>
          <w:bCs/>
          <w:i/>
          <w:iCs/>
          <w:lang w:eastAsia="es-CO"/>
        </w:rPr>
        <w:t xml:space="preserve">Los sistemas de transporte deben ser sostenibles. </w:t>
      </w:r>
      <w:r w:rsidRPr="00BC5DA9">
        <w:rPr>
          <w:rFonts w:ascii="Century Gothic" w:eastAsia="Times New Roman" w:hAnsi="Century Gothic" w:cs="Segoe UI"/>
          <w:lang w:eastAsia="es-CO"/>
        </w:rPr>
        <w:t xml:space="preserve">Para ello las tarifas que se cobren por la prestación del servicio de transporte público de pasajeros, sumadas a otras fuentes de financiación de origen territorial si las hubiere, deberán ser suficientes para cubrir los costos de operación, administración, mantenimiento, y reposición de los equipos. En ningún caso el Gobierno nacional podrá realizar transferencias para cubrir estos costos. Lo anterior, sin perjuicio de que las entidades territoriales y/o el Gobierno nacional, dentro del Marco de Gasto de Mediano Plazo, en los casos en que cofinancie estos sistemas, puedan realizar inversiones en la etapa </w:t>
      </w:r>
      <w:proofErr w:type="spellStart"/>
      <w:r w:rsidRPr="00BC5DA9">
        <w:rPr>
          <w:rFonts w:ascii="Century Gothic" w:eastAsia="Times New Roman" w:hAnsi="Century Gothic" w:cs="Segoe UI"/>
          <w:lang w:eastAsia="es-CO"/>
        </w:rPr>
        <w:t>preoperativa</w:t>
      </w:r>
      <w:proofErr w:type="spellEnd"/>
      <w:r w:rsidRPr="00BC5DA9">
        <w:rPr>
          <w:rFonts w:ascii="Century Gothic" w:eastAsia="Times New Roman" w:hAnsi="Century Gothic" w:cs="Segoe UI"/>
          <w:lang w:eastAsia="es-CO"/>
        </w:rPr>
        <w:t xml:space="preserve"> en infraestructura física y adquisición inicial total o parcial de material rodante de sistemas de metro o de transporte férreo interurbano de pasajeros incentivando la incorporación de tecnologías limpias y la accesibilidad a los vehículos para personas con movilidad reducida, estrategias de articulación y fomento de la movilidad en medios no motorizados, así como implementación de sistemas de recaudo, información y control de flota que garanticen la sostenibilidad del Sistema”.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Para el caso de cofinanciación de sistemas de metro, el </w:t>
      </w:r>
      <w:proofErr w:type="spellStart"/>
      <w:r w:rsidRPr="00BC5DA9">
        <w:rPr>
          <w:rFonts w:ascii="Century Gothic" w:eastAsia="Times New Roman" w:hAnsi="Century Gothic" w:cs="Segoe UI"/>
          <w:lang w:eastAsia="es-CO"/>
        </w:rPr>
        <w:t>Confis</w:t>
      </w:r>
      <w:proofErr w:type="spellEnd"/>
      <w:r w:rsidRPr="00BC5DA9">
        <w:rPr>
          <w:rFonts w:ascii="Century Gothic" w:eastAsia="Times New Roman" w:hAnsi="Century Gothic" w:cs="Segoe UI"/>
          <w:lang w:eastAsia="es-CO"/>
        </w:rPr>
        <w:t xml:space="preserve"> podrá autorizar vigencias futuras hasta por el plazo del servicio de la deuda del proyecto de conformidad con la Ley 310 de 1996, dentro del límite anual de autorizaciones para comprometer vigencias futuras establecidas en el artículo 26 de la Ley 1508 de 2012.</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Apoyo a los sistemas de transporte</w:t>
      </w:r>
      <w:r w:rsidRPr="00BC5DA9">
        <w:rPr>
          <w:rFonts w:ascii="Century Gothic" w:eastAsia="Times New Roman" w:hAnsi="Century Gothic" w:cs="Segoe UI"/>
          <w:lang w:eastAsia="es-CO"/>
        </w:rPr>
        <w:t>. Modifíquese el artículo 132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132. </w:t>
      </w:r>
      <w:r w:rsidRPr="00BC5DA9">
        <w:rPr>
          <w:rFonts w:ascii="Century Gothic" w:eastAsia="Times New Roman" w:hAnsi="Century Gothic" w:cs="Segoe UI"/>
          <w:b/>
          <w:bCs/>
          <w:i/>
          <w:iCs/>
          <w:lang w:eastAsia="es-CO"/>
        </w:rPr>
        <w:t xml:space="preserve">Apoyo a los Sistemas de Transporte. </w:t>
      </w:r>
      <w:r w:rsidRPr="00BC5DA9">
        <w:rPr>
          <w:rFonts w:ascii="Century Gothic" w:eastAsia="Times New Roman" w:hAnsi="Century Gothic" w:cs="Segoe UI"/>
          <w:lang w:eastAsia="es-CO"/>
        </w:rPr>
        <w:t xml:space="preserve">El Gobierno nacional podrá apoyar los SITM, SETP, SITP, SITR que se encuentren en operación, implementación y estructuración, de conformidad con el Marco Fiscal de Mediano Plazo y lo establecido en el artículo 14 de la Ley 86 de 1989 y en la Ley 310 de 1996. Así mismo, podrá apoyar las soluciones de transporte público de pasajeros en zonas urbanas, conurbadas o regionales que estén integradas en el sistema de ciudades que se vienen estructurando, implementando u operando en el país, siempre y cuando comprendan acciones orientadas a incrementar y regular el uso de modos no motorizados y de energías limpias (entendidos como el viaje a pie, bicicleta o </w:t>
      </w:r>
      <w:proofErr w:type="spellStart"/>
      <w:r w:rsidRPr="00BC5DA9">
        <w:rPr>
          <w:rFonts w:ascii="Century Gothic" w:eastAsia="Times New Roman" w:hAnsi="Century Gothic" w:cs="Segoe UI"/>
          <w:lang w:eastAsia="es-CO"/>
        </w:rPr>
        <w:t>tricimóvil</w:t>
      </w:r>
      <w:proofErr w:type="spellEnd"/>
      <w:r w:rsidRPr="00BC5DA9">
        <w:rPr>
          <w:rFonts w:ascii="Century Gothic" w:eastAsia="Times New Roman" w:hAnsi="Century Gothic" w:cs="Segoe UI"/>
          <w:lang w:eastAsia="es-CO"/>
        </w:rPr>
        <w:t>, entre otros), integración con otros modos y modalidades, especialmente en zonas de última milla, y medidas contra la ilegalidad y la informalidad.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Para efecto de lo establecido en el presente artículo, se entiende como: Sistemas Integrados de Transporte Masivo (SITM) las soluciones de </w:t>
      </w:r>
      <w:r w:rsidRPr="00BC5DA9">
        <w:rPr>
          <w:rFonts w:ascii="Century Gothic" w:eastAsia="Times New Roman" w:hAnsi="Century Gothic" w:cs="Segoe UI"/>
          <w:lang w:eastAsia="es-CO"/>
        </w:rPr>
        <w:lastRenderedPageBreak/>
        <w:t xml:space="preserve">transporte público para municipios o áreas metropolitanas con población superior a los 600.000 habitantes; Sistemas Estratégicos de Transporte Público (SETP), las soluciones de transporte público para municipios o áreas metropolitanas con población entre los 600.000 y los 250.000 habitantes; Sistemas Integrados de Transporte Público (SITP), las soluciones de transporte que busquen proporcionar cobertura al 100% de la demanda de transporte urbano para municipios o áreas metropolitanas donde se han implementado los SITM, y como Sistemas Integrados de Transporte Regional (SITR), las soluciones de transporte de las aglomeraciones urbanas o ciudades funcionales que se encuentran definidas en el documento </w:t>
      </w:r>
      <w:proofErr w:type="spellStart"/>
      <w:r w:rsidRPr="00BC5DA9">
        <w:rPr>
          <w:rFonts w:ascii="Century Gothic" w:eastAsia="Times New Roman" w:hAnsi="Century Gothic" w:cs="Segoe UI"/>
          <w:lang w:eastAsia="es-CO"/>
        </w:rPr>
        <w:t>Conpes</w:t>
      </w:r>
      <w:proofErr w:type="spellEnd"/>
      <w:r w:rsidRPr="00BC5DA9">
        <w:rPr>
          <w:rFonts w:ascii="Century Gothic" w:eastAsia="Times New Roman" w:hAnsi="Century Gothic" w:cs="Segoe UI"/>
          <w:lang w:eastAsia="es-CO"/>
        </w:rPr>
        <w:t xml:space="preserve"> 3819 del 21 de octubre de 2014 y que tienen como objetivo consolidar la conectividad y complementariedad del mercado laboral y de servicios en estas áreas.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Gobierno nacional podrá apoyar la financiación de sistemas de transporte en otras ciudades o regiones del país, estructurados de conformidad con las necesidades propias de la ciudad o región, siempre y cuando se garantice el cambio de esquema empresarial, cobertura, eficiencia, accesibilidad y sostenibilidad, así como la incorporación de tecnologías de recaudo, gestión y control de flota, información al usuario, y a los niveles de servicio como su articulación con otros modos y modalidades de transporte, una vez se evalúe y se apruebe el estudio que determine su impacto estratégico en el desarrollo de la región.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Es deber de las autoridades locales, entes gestores, concesionarios de operación y de recaudo, así como de las empresas operadoras del servicio de transporte, suministrar cualquier tipo de información solicitada por el Gobierno nacional, que permita evaluar las condiciones técnicas, económicas y financieras de los Sistemas cofinanciados por la Nación.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xml:space="preserve">Parágrafo 4°. </w:t>
      </w:r>
      <w:r w:rsidRPr="00BC5DA9">
        <w:rPr>
          <w:rFonts w:ascii="Century Gothic" w:eastAsia="Times New Roman" w:hAnsi="Century Gothic" w:cs="Segoe UI"/>
          <w:lang w:eastAsia="es-CO"/>
        </w:rPr>
        <w:t>En los proyectos cofinanciados por la Nación a los cuales hace referencia el presente artículo, se podrá seleccionar el combustible para la operación de la flota que en igualdad de condiciones de eficiencia, tenga el menor costo real y ambiental. Lo anterior condicionado a la disponibilidad del combustible y a la viabilidad de su comercialización.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5°.</w:t>
      </w:r>
      <w:r w:rsidRPr="00BC5DA9">
        <w:rPr>
          <w:rFonts w:ascii="Century Gothic" w:eastAsia="Times New Roman" w:hAnsi="Century Gothic" w:cs="Segoe UI"/>
          <w:lang w:eastAsia="es-CO"/>
        </w:rPr>
        <w:t xml:space="preserve"> Las terminales de transporte habilitadas por el Ministerio de Transporte serán incluidas en los diseños de los sistemas de transporte de que trata este artículo como puntos de integración operacional y articulación del transporte intermunicipal con el transporte urbano. Así mismo, podrán ser los proveedores de la red de estaciones de transferencia y cabecera en los sistemas de transporte previstos en el presente parágrafo. En ningún caso podrá incrementarse la tarifa al usuario de transporte urbano para cubrir tasas por uso de las terminales.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todo caso, los vehículos de transporte intermunicipal que cubran rutas de media y larga distancia deberán iniciar y terminar sus recorridos en las terminales de transporte intermunicipales habilitadas para tal fin.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6°.</w:t>
      </w:r>
      <w:r w:rsidRPr="00BC5DA9">
        <w:rPr>
          <w:rFonts w:ascii="Century Gothic" w:eastAsia="Times New Roman" w:hAnsi="Century Gothic" w:cs="Segoe UI"/>
          <w:lang w:eastAsia="es-CO"/>
        </w:rPr>
        <w:t xml:space="preserve"> El Gobierno nacional impulsará modelos para la gestión de movilidad en las ciudades, en donde se contemplen alternativas para mejorar la calidad de vida, la utilización eficiente de los recursos, la reducción del tiempo de desplazamiento, la promoción de los transportes limpios y la utilización de tecnologías que contribuyan a la gestión del tráfico. Dentro de los seis (6) meses siguientes a la expedición de la presente ley, el Gobierno nacional deberá reglamentar el servicio de lujo dentro de la modalidad individual de pasajeros.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7°.</w:t>
      </w:r>
      <w:r w:rsidRPr="00BC5DA9">
        <w:rPr>
          <w:rFonts w:ascii="Century Gothic" w:eastAsia="Times New Roman" w:hAnsi="Century Gothic" w:cs="Segoe UI"/>
          <w:lang w:eastAsia="es-CO"/>
        </w:rPr>
        <w:t xml:space="preserve"> Con el propósito de integrar operacionalmente los SITM, los SITP los SETP con el transporte complementario de las ciudades y/o el transporte intermunicipal de pasajeros de corta distancia, las autoridades territoriales, conjuntamente con el Ministerio de Transporte según sea el caso, podrán promover mecanismos de organización entre los mismos, a través de instrumentos como los acuerdos comerciales o convenios de colaboración entre empresas que estén debidamente habilitadas”.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Otras fuentes de financiación para los sistemas de transporte. </w:t>
      </w:r>
      <w:r w:rsidRPr="00BC5DA9">
        <w:rPr>
          <w:rFonts w:ascii="Century Gothic" w:eastAsia="Times New Roman" w:hAnsi="Century Gothic" w:cs="Segoe UI"/>
          <w:lang w:eastAsia="es-CO"/>
        </w:rPr>
        <w:t>Con el objeto de contribuir a la sostenibilidad de los sistemas de transporte y contar con mecanismos de gestión de la demanda, las entidades territoriales podrán determinar, definir y establecer nuevos recursos de financiación públicos y/o privados que permitan lograr la sostenibilidad económica, ambiental, social e institucional de los sistemas SITM, SETP, SITP y SITR, a través de los siguientes mecanismos: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Fondos de estabilización y subsidio a la demanda. En desarrollo de una política de apoyo y fortalecimiento al transporte público en las ciudades del país, los alcaldes de los municipios, distritos o áreas metropolitanas, donde se implementen o estén en operación sistemas de transporte público, podrán establecer fondos de estabilización o compensación tarifaria, que cubran el diferencial entre la tarifa técnica y la tarifa al usuario. La decisión anterior se adoptará mediante decreto municipal, distrital o mediante acuerdo metropolitano, el cual deberá estar soportado en un estudio técnico en el que se demuestre que el fondo de estabilización contribuye a la sostenibilidad del Sistema de Transporte, en términos de eficiencia económica, sostenibilidad financiera, eficacia en la prestación del servicio e impactos esperados.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Dicho acto administrativo deberá describir la aplicación del fondo o subsidio de forma tal que se garantice su efectividad, establecer los indicadores que permitan evaluar los resultados de dicha medida, contener la fuente presupuestal y la garantía de la permanencia en el tiempo de los recursos que financiarán los fondos de estabilización o subsidio a la demanda, con criterios de sostenibilidad fiscal de la entidad territorial. Para el efecto, deberán contar con previo concepto del </w:t>
      </w:r>
      <w:proofErr w:type="spellStart"/>
      <w:r w:rsidRPr="00BC5DA9">
        <w:rPr>
          <w:rFonts w:ascii="Century Gothic" w:eastAsia="Times New Roman" w:hAnsi="Century Gothic" w:cs="Segoe UI"/>
          <w:lang w:eastAsia="es-CO"/>
        </w:rPr>
        <w:t>Confis</w:t>
      </w:r>
      <w:proofErr w:type="spellEnd"/>
      <w:r w:rsidRPr="00BC5DA9">
        <w:rPr>
          <w:rFonts w:ascii="Century Gothic" w:eastAsia="Times New Roman" w:hAnsi="Century Gothic" w:cs="Segoe UI"/>
          <w:lang w:eastAsia="es-CO"/>
        </w:rPr>
        <w:t xml:space="preserve"> municipal o distrital o de la entidad que haga sus veces, en la que se indique que el fondeo es sostenible en el tiempo y se encuentra previsto en el Marco Fiscal de Mediano Plazo del ente territorial.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2. Contribución por el servicio de garajes o zonas de estacionamiento de uso público. Cuando los Alcaldes municipales o distritales regulen el cobro por el servicio de garajes o zonas de estacionamiento de uso público, incluyendo estacionamiento en vía, las entidades territoriales que cuenten con un sistema de transporte masivo, estratégico, integrado o regional, en concordancia con las competencias de los Concejos Municipales o Distritales, podrán incorporar en las tarifas al usuario de los estacionamientos, una contribución que incentive la utilización de los sistemas de transporte público.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Serán sujetos pasivos los usuarios del servicio en predios de personas naturales o jurídicas que ofrezcan a título oneroso el estacionamiento de vehículos. El factor adicional se calculará así: la base gravable será dos (2) veces el valor del pasaje promedio del servicio de transporte público (SITM, SETP, SITP o SITR, según sea el caso) en el municipio o distrito; esta base se multiplicará por factores inferiores a uno (1) en función de los criterios de oferta de transporte público en la zona, uso del servicio en horas pico y estrato del predio. La contribución se cobrará en forma adicional al total del valor al usuario por parte del prestador del servicio, quien tendrá la condición de agente retenedor. Se exceptúa de este cobro las bicicletas y las motocicletas cilindradas de 125 cm3 e inferiores.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Cobros por congestión o contaminación. Los municipios o distritos mayores a 300.000 habitantes, en concordancia con las competencias de los concejos municipales o distritales, podrán establecer tasas, diferentes a los peajes establecidos en la Ley 105 de 1993, por acceso a áreas de alta congestión, de infraestructura construida para evitar congestión urbana, así como por contaminación, con base en la reglamentación que el Gobierno nacional expida para el efecto. Los recursos obtenidos por concepto de las tasas adoptadas por las mencionadas entidades territoriales, se destinarán a financiar proyectos y programas de infraestructura vial, transporte público y programas de mitigación de contaminación ambiental vehicular.</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efectos de cobro de tasa para cada ingreso a áreas de alta congestión o vías construidas o mejoradas para evitar congestión urbana, el sujeto pasivo de dicha obligación será el conductor y/o propietario. La tarifa será fijada teniendo en cuenta el tipo de vía, el tipo de servicio del vehículo, el número de pasajeros y los meses y días del año y horas determinadas de uso y el tipo de vehículo, según la siguiente clasificación: motocicletas, automóviles, camperos y camionetas, y buses y camiones. En todo caso se dará una condición tarifaria especial para las motocicletas cilindradas de 125 cm3 e inferiores.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sujeto pasivo de la tasa por cada ingreso a zonas de alta contaminación será el propietario y/o conductor del vehículo y la tarifa se determinará en forma gradual, teniendo en cuenta el modelo del vehículo, tipo de servicio, cilindraje, tipo de combustible y el tipo de vehículo, según la siguiente clasificación: motocicletas; automóviles; campero y camionetas; buses y camiones.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Las tasas se calcularán así: la base gravable será cinco (5) veces el valor del pasaje promedio del servicio de transporte público (SITM, SETP, SITP o SITR, según sea el caso) en el municipio o distrito; esta base se multiplicará por factores inferiores a uno (1) en función de los criterios definidos para tasas por congestión y contaminación, respectivamente.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4. La Nación y sus entidades descentralizadas por servicios podrán cofinanciar proyectos de Asociación Público Privada para el desarrollo de Sistemas de Servicio Público Urbano de Transporte de Pasajeros o de algunos de sus componentes o unidades funcionales, con aportes de capital, en dinero o en especie. La cofinanciación de la Nación podrá ser hasta el 70% del menor valor entre los desembolsos de recursos públicos solicitados para la ejecución del proyecto y el valor estimado del costo y la financiación de las actividades de diseño, pre-construcción y construcción del proyecto.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Ministerio de Hacienda y Crédito Público al momento de emitir su no objeción sobre las condiciones financieras y las cláusulas contractuales, propuestas por la entidad competente de que trata el inciso 3° del artículo 26 de la Ley 1508 de 2012, revisará el cumplimiento de lo establecido en el inciso anterior, en relación con la cofinanciación de la Nación.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recursos de cofinanciación a los que hace referencia el presente artículo no podrán ser destinados a la adquisición de vehículos o material rodante, con excepción de los proyectos de sistemas de metro o de transporte férreo interurbano de pasajeros.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5. Además de las anteriores fuentes de financiación, se podrán utilizar otras fuentes como valorización, subasta de norma urbanística, herramientas de captura del valor del suelo y cobro o aportes por edificabilidad adicional.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Sistema de Recaudo y Sistema de Gestión y Control de Flota de Transporte. </w:t>
      </w:r>
      <w:r w:rsidRPr="00BC5DA9">
        <w:rPr>
          <w:rFonts w:ascii="Century Gothic" w:eastAsia="Times New Roman" w:hAnsi="Century Gothic" w:cs="Segoe UI"/>
          <w:lang w:eastAsia="es-CO"/>
        </w:rPr>
        <w:t>Modifíquense el inciso 1°, los parágrafos 3° y 5°, y adiciónese el parágrafo 6° al artículo 134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134. </w:t>
      </w:r>
      <w:r w:rsidRPr="00BC5DA9">
        <w:rPr>
          <w:rFonts w:ascii="Century Gothic" w:eastAsia="Times New Roman" w:hAnsi="Century Gothic" w:cs="Segoe UI"/>
          <w:b/>
          <w:bCs/>
          <w:i/>
          <w:iCs/>
          <w:lang w:eastAsia="es-CO"/>
        </w:rPr>
        <w:t xml:space="preserve">Sistema de Recaudo y Sistema de Gestión y Control de Flota de Transporte. </w:t>
      </w:r>
      <w:r w:rsidRPr="00BC5DA9">
        <w:rPr>
          <w:rFonts w:ascii="Century Gothic" w:eastAsia="Times New Roman" w:hAnsi="Century Gothic" w:cs="Segoe UI"/>
          <w:lang w:eastAsia="es-CO"/>
        </w:rPr>
        <w:t>Los sistemas de transporte que sean cofinanciados con recursos de la Nación, adoptarán un sistema de recaudo centralizado, así como un sistema de gestión y control de flota, que integre los subsistemas de transporte complementario y de transporte masivo, integrado, estratégico o regional, utilizando mecanismos que así lo permitan, en especial en el sistema de recaudo, el mecanismo de pago electrónico unificado y los sistemas de compensación entre operadores, de conformidad con lo dispuesto por la autoridad de transporte competente”.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r w:rsidRPr="00BC5DA9">
        <w:rPr>
          <w:rFonts w:ascii="Century Gothic" w:eastAsia="Times New Roman" w:hAnsi="Century Gothic" w:cs="Segoe UI"/>
          <w:b/>
          <w:bCs/>
          <w:lang w:eastAsia="es-CO"/>
        </w:rPr>
        <w:t xml:space="preserve">Parágrafo 3°. </w:t>
      </w:r>
      <w:r w:rsidRPr="00BC5DA9">
        <w:rPr>
          <w:rFonts w:ascii="Century Gothic" w:eastAsia="Times New Roman" w:hAnsi="Century Gothic" w:cs="Segoe UI"/>
          <w:lang w:eastAsia="es-CO"/>
        </w:rPr>
        <w:t>Se entiende como subsistema de transporte complementario el sistema de transporte público colectivo que atiende la demanda de transporte público que no cubre el sistema de transporte masivo o estratégico”.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r w:rsidRPr="00BC5DA9">
        <w:rPr>
          <w:rFonts w:ascii="Century Gothic" w:eastAsia="Times New Roman" w:hAnsi="Century Gothic" w:cs="Segoe UI"/>
          <w:b/>
          <w:bCs/>
          <w:lang w:eastAsia="es-CO"/>
        </w:rPr>
        <w:t>Parágrafo 5°</w:t>
      </w:r>
      <w:r w:rsidRPr="00BC5DA9">
        <w:rPr>
          <w:rFonts w:ascii="Century Gothic" w:eastAsia="Times New Roman" w:hAnsi="Century Gothic" w:cs="Segoe UI"/>
          <w:lang w:eastAsia="es-CO"/>
        </w:rPr>
        <w:t xml:space="preserve">. En los Sistemas Integrados de Transporte Masivo, ni los operadores o empresas de transporte, ni sus vinculados económicos, entendido como tales los que se encuentren en los supuestos previstos por los artículos </w:t>
      </w:r>
      <w:hyperlink r:id="rId4" w:tooltip="Estatuto Tributario CETA" w:history="1">
        <w:r w:rsidRPr="00BC5DA9">
          <w:rPr>
            <w:rFonts w:ascii="Century Gothic" w:eastAsia="Times New Roman" w:hAnsi="Century Gothic" w:cs="Segoe UI"/>
            <w:lang w:eastAsia="es-CO"/>
          </w:rPr>
          <w:t>450</w:t>
        </w:r>
      </w:hyperlink>
      <w:r w:rsidRPr="00BC5DA9">
        <w:rPr>
          <w:rFonts w:ascii="Century Gothic" w:eastAsia="Times New Roman" w:hAnsi="Century Gothic" w:cs="Segoe UI"/>
          <w:lang w:eastAsia="es-CO"/>
        </w:rPr>
        <w:t xml:space="preserve"> a </w:t>
      </w:r>
      <w:hyperlink r:id="rId5" w:tooltip="Estatuto Tributario CETA" w:history="1">
        <w:r w:rsidRPr="00BC5DA9">
          <w:rPr>
            <w:rFonts w:ascii="Century Gothic" w:eastAsia="Times New Roman" w:hAnsi="Century Gothic" w:cs="Segoe UI"/>
            <w:lang w:eastAsia="es-CO"/>
          </w:rPr>
          <w:t>452</w:t>
        </w:r>
      </w:hyperlink>
      <w:r w:rsidRPr="00BC5DA9">
        <w:rPr>
          <w:rFonts w:ascii="Century Gothic" w:eastAsia="Times New Roman" w:hAnsi="Century Gothic" w:cs="Segoe UI"/>
          <w:lang w:eastAsia="es-CO"/>
        </w:rPr>
        <w:t xml:space="preserve"> del Estatuto Tributario, podrán participar en la operación y administración de sistema de recaudo, salvo cuando se trate de Sistemas Estratégicos de Transporte Público, caso en el cual el Gobierno nacional reglamentará las condiciones de su participación, garantizando la estabilidad jurídica de los actos administrativos expedidos a la entrada en vigencia de la presente ley por las entidades territoriales o cuando el Sistema Integrado de Transporte Masivo sea operado por una entidad pública. La autoridad competente cancelará las habilitaciones correspondientes a las empresas que no se integren al sistema de recaudo centralizado”.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r w:rsidRPr="00BC5DA9">
        <w:rPr>
          <w:rFonts w:ascii="Century Gothic" w:eastAsia="Times New Roman" w:hAnsi="Century Gothic" w:cs="Segoe UI"/>
          <w:b/>
          <w:bCs/>
          <w:lang w:eastAsia="es-CO"/>
        </w:rPr>
        <w:t xml:space="preserve">Parágrafo 6°. </w:t>
      </w:r>
      <w:r w:rsidRPr="00BC5DA9">
        <w:rPr>
          <w:rFonts w:ascii="Century Gothic" w:eastAsia="Times New Roman" w:hAnsi="Century Gothic" w:cs="Segoe UI"/>
          <w:lang w:eastAsia="es-CO"/>
        </w:rPr>
        <w:t>En los SITM) SITP) SETP) SITR) u otros) el ente territorial o el ente gestor, podrá ostentar la calidad de operador del Sistema de Recaudo) del Sistema de Control y Gestión de Flota y del Sistema de Información al Usuario, siempre y cuando los estudios de estructuración técnica, legal y financiera lo recomienden en atención a la reducción en los costos de operación del sistema.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Dichos estudios deberán contar con el aval del Ministerio de Transporte. En todo caso se garantizará la estabilidad jurídica de los actos administrativos expedidos a la entrada en vigencia de la presente ley por las entidades territoriales”.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Fondo de Contingencias y Traslados. </w:t>
      </w:r>
      <w:r w:rsidRPr="00BC5DA9">
        <w:rPr>
          <w:rFonts w:ascii="Century Gothic" w:eastAsia="Times New Roman" w:hAnsi="Century Gothic" w:cs="Segoe UI"/>
          <w:lang w:eastAsia="es-CO"/>
        </w:rPr>
        <w:t xml:space="preserve">El Fondo de Contingencias de las Entidades Estatales creado por la Ley 448 de 1998 es el mecanismo de primera instancia autorizado para atender el pago de las obligaciones contingentes que contraigan las entidades sometidas al régimen obligatorio de contingencias contractuales del Estado, en cuanto se trate de riesgos comprendidos por este Fondo. El </w:t>
      </w:r>
      <w:proofErr w:type="spellStart"/>
      <w:r w:rsidRPr="00BC5DA9">
        <w:rPr>
          <w:rFonts w:ascii="Century Gothic" w:eastAsia="Times New Roman" w:hAnsi="Century Gothic" w:cs="Segoe UI"/>
          <w:lang w:eastAsia="es-CO"/>
        </w:rPr>
        <w:t>Conpes</w:t>
      </w:r>
      <w:proofErr w:type="spellEnd"/>
      <w:r w:rsidRPr="00BC5DA9">
        <w:rPr>
          <w:rFonts w:ascii="Century Gothic" w:eastAsia="Times New Roman" w:hAnsi="Century Gothic" w:cs="Segoe UI"/>
          <w:lang w:eastAsia="es-CO"/>
        </w:rPr>
        <w:t xml:space="preserve"> establecerá los lineamientos para los mecanismos alternativos válidos para la atención de las obligaciones contingentes.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Las obligaciones contingentes que son atendidas por el Fondo, mantendrán su naturaleza y condición de contingentes, siempre y cuando estén aprobadas en el respectivo plan de aportes y hasta el monto estipulado en este, sin que su cobertura quede condicionada al momento de la realización de los aportes al Fondo. Así mismo, con cargo a los recursos del Fondo de Contingencias se podrán atender los intereses asociados a las obligaciones contingentes, exclusivamente dentro de los plazos establecidos en cada contrato.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 fiduciaria que administre el Fondo de Contingencias de las Entidades Estatales, podrá, previa solicitud de la entidad aportante, transferir recursos de uno a otro riesgo, con la finalidad de atender las obligaciones contingentes amparadas. Dicha transferencia deberá contar con la aprobación previa del plan de aportes por parte de la Dirección General de Crédito Público y Tesoro Nacional del Ministerio de Hacienda y Crédito Público, siempre y cuando cumpla los siguientes requisitos: (i) cuando la entidad aportante determine a </w:t>
      </w:r>
      <w:r w:rsidRPr="00BC5DA9">
        <w:rPr>
          <w:rFonts w:ascii="Century Gothic" w:eastAsia="Times New Roman" w:hAnsi="Century Gothic" w:cs="Segoe UI"/>
          <w:lang w:eastAsia="es-CO"/>
        </w:rPr>
        <w:lastRenderedPageBreak/>
        <w:t>través del seguimiento que el riesgo ha disminuido totalmente, caso en el que el valor a transferir será el 100% del saldo de la subcuenta; o (ii) cuando la entidad aportante determine a través del seguimiento que el riesgo ha disminuido parcialmente, caso en el cual el valor a transferir será el exceso del saldo en la subcuenta.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todo caso, la entidad aportante será la única responsable por la veracidad y completitud de la información que suministre a la Dirección General de Crédito Público y Tesoro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Contribución especial de vigilancia para la Superintendencia de Puertos y Transporte. </w:t>
      </w:r>
      <w:r w:rsidRPr="00BC5DA9">
        <w:rPr>
          <w:rFonts w:ascii="Century Gothic" w:eastAsia="Times New Roman" w:hAnsi="Century Gothic" w:cs="Segoe UI"/>
          <w:lang w:eastAsia="es-CO"/>
        </w:rPr>
        <w:t>Sustitúyase la tasa de vigilancia prevista por el numeral 2 del artículo 27 de la Ley 1ª de 1991 y ampliada por el artículo 89 de la Ley 1450 de 2011, por una contribución especial de vigilancia a favor de la Superintendencia de Puertos y Transporte, para cubrir los costos y gastos que ocasione su funcionamiento e inversión, la cual deberán cancelar anualmente todas las personas naturales y/o jurídicas que estén sometidas a su vigilancia, inspección y/o control de acuerdo con la ley o el reglamento.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contribución se fijará por parte de la Superintendencia de Puertos y Transporte conforme a los siguientes criterios: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El total de las contribuciones corresponderá al monto del presupuesto anual de funcionamiento e inversión de la Superintendencia de Puertos y Transporte.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 Con base en los ingresos brutos derivados de la actividad de transporte que perciba el sujeto supervisado durante el periodo anual anterior, la Superintendencia de Puertos y Transporte, mediante resolución, establecerá la tarifa de la contribución a cobrar que no podrá ser superior al cero coma dos por ciento (0,2%) de dichos ingresos brutos.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La contribución deberá cancelarse anualmente, en los plazos que para tal efecto determine la Superintendencia de Puertos y Transporte.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Para efectos del presente artículo, se entenderá por ingresos brutos derivados de la actividad de transporte, todos aquellos que recibe el supervisado por las actividades relacionadas con el tránsito, transporte, su infraestructura o sus servicios conexos y complementarios, durante el período anual anterior, sin restarle las contribuciones, gastos, costos, tributos, descuentos y deducciones.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 tarifa de la contribución podrá ser diferencial dependiendo de si la supervisión es integral, objetiva o subjetiva.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concesionarios de puertos de servicio privado pagarán la contribución especial de vigilancia teniendo en cuenta como base de liquidación, la cifra resultante de multiplicar las toneladas movilizadas en el año inmediatamente anterior por la tarifa calculada anualmente por la Superintendencia de Puertos y Transporte para cada tipo de carga de acuerdo </w:t>
      </w:r>
      <w:r w:rsidRPr="00BC5DA9">
        <w:rPr>
          <w:rFonts w:ascii="Century Gothic" w:eastAsia="Times New Roman" w:hAnsi="Century Gothic" w:cs="Segoe UI"/>
          <w:lang w:eastAsia="es-CO"/>
        </w:rPr>
        <w:lastRenderedPageBreak/>
        <w:t>con la metodología establecida en los planes de expansión portuaria y demás normas concordantes.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4°.</w:t>
      </w:r>
      <w:r w:rsidRPr="00BC5DA9">
        <w:rPr>
          <w:rFonts w:ascii="Century Gothic" w:eastAsia="Times New Roman" w:hAnsi="Century Gothic" w:cs="Segoe UI"/>
          <w:lang w:eastAsia="es-CO"/>
        </w:rPr>
        <w:t xml:space="preserve"> Para efectos del control en el pago de la contribución aquí prevista, la Superintendencia de Puertos y Transporte reglamentará la inscripción y registro de los operadores portuarios, marítimos y fluviales.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5°.</w:t>
      </w:r>
      <w:r w:rsidRPr="00BC5DA9">
        <w:rPr>
          <w:rFonts w:ascii="Century Gothic" w:eastAsia="Times New Roman" w:hAnsi="Century Gothic" w:cs="Segoe UI"/>
          <w:lang w:eastAsia="es-CO"/>
        </w:rPr>
        <w:t xml:space="preserve"> Dótese de personería jurídica a la Superintendencia de Puertos y Transporte, la cual para todos sus efectos tendrá el régimen presupuestal y financiero aplicable a los establecimientos públicos.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Derecho a retribuciones en proyectos de APP. </w:t>
      </w:r>
      <w:r w:rsidRPr="00BC5DA9">
        <w:rPr>
          <w:rFonts w:ascii="Century Gothic" w:eastAsia="Times New Roman" w:hAnsi="Century Gothic" w:cs="Segoe UI"/>
          <w:lang w:eastAsia="es-CO"/>
        </w:rPr>
        <w:t>Modifíquese el artículo 5° de la Ley 1508 de 2012,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5°. </w:t>
      </w:r>
      <w:r w:rsidRPr="00BC5DA9">
        <w:rPr>
          <w:rFonts w:ascii="Century Gothic" w:eastAsia="Times New Roman" w:hAnsi="Century Gothic" w:cs="Segoe UI"/>
          <w:b/>
          <w:bCs/>
          <w:i/>
          <w:iCs/>
          <w:lang w:eastAsia="es-CO"/>
        </w:rPr>
        <w:t xml:space="preserve">Derecho a retribuciones. </w:t>
      </w:r>
      <w:r w:rsidRPr="00BC5DA9">
        <w:rPr>
          <w:rFonts w:ascii="Century Gothic" w:eastAsia="Times New Roman" w:hAnsi="Century Gothic" w:cs="Segoe UI"/>
          <w:lang w:eastAsia="es-CO"/>
        </w:rPr>
        <w:t>El derecho al recaudo de recursos por la explotación económica del proyecto, a recibir desembolsos de recursos públicos o a cualquier otra retribución, en proyectos de asociación público-privada, estará condicionado a la disponibilidad de la infraestructura, al cumplimiento de niveles de servicio, y estándares de calidad en las distintas unidades funcionales o etapas del proyecto, y los demás requisitos que determine el reglamento.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En los esquemas de asociación público-privada podrán efectuarse aportes en especie por parte de las entidades estatales. En todo caso, tales aportes no computarán para el límite previsto en los artículos 13, 17 y 18 de la presente ley.</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gobiernos locales y regionales podrán aplicar la plusvalía por las obras que resulten de proyectos de asociación público-privada.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En los contratos para ejecutar proyectos de asociación público-privada podrá pactarse el derecho a retribución por unidades funcionales, previa aprobación del Ministerio u órgano cabeza del sector o quien haga sus veces a nivel territorial, siempre y cuando: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El proyecto se encuentre totalmente estructurado.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El proyecto haya sido estructurado, contemplando unidades funcionales de infraestructura, cuya ejecución podría haberse realizado y contratado en forma independiente y autónoma, y la remuneración estará condicionada a la disponibilidad de la infraestructura y al cumplimiento de niveles de servicio y estándares de calidad previstos para las respectivas unidades funcionales.</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Las demás condiciones que defina el Gobierno nacional, entre estas el correspondiente monto mínimo de cada unidad funcional.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Complementario a lo previsto en el parágrafo anterior, en los contratos para ejecutar proyectos de asociación público-privada podrá </w:t>
      </w:r>
      <w:r w:rsidRPr="00BC5DA9">
        <w:rPr>
          <w:rFonts w:ascii="Century Gothic" w:eastAsia="Times New Roman" w:hAnsi="Century Gothic" w:cs="Segoe UI"/>
          <w:lang w:eastAsia="es-CO"/>
        </w:rPr>
        <w:lastRenderedPageBreak/>
        <w:t>pactarse el derecho a retribución por etapas, entendiéndose por etapa, cada una de las fases sucesivas en el tiempo, definidas en el contrato, en las que se desarrollan o mejoran unidades funcionales específicas, previa aprobación del Ministerio u órgano cabeza del sector o quien haga sus veces a nivel territorial, siempre y cuando: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El proyecto se encuentre totalmente estructurado.</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Durante el plazo inicial del contrato se ejecuten todas las etapas previstas.</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El proyecto haya sido estructurado en etapas sucesivas en el tiempo, de acuerdo con las necesidades del servicio respecto de las cuales se define un alcance específico en el contrato y sus correspondientes niveles de servicio y estándares de calidad.</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La retribución al inversionista privado estará condicionada a la disponibilidad de la infraestructura, al cumplimiento de niveles de servicio estándares de calidad.</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Las demás condiciones que defina el Gobierno nacional, entre estas el correspondiente monto mínimo de cada etapa.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4°.</w:t>
      </w:r>
      <w:r w:rsidRPr="00BC5DA9">
        <w:rPr>
          <w:rFonts w:ascii="Century Gothic" w:eastAsia="Times New Roman" w:hAnsi="Century Gothic" w:cs="Segoe UI"/>
          <w:lang w:eastAsia="es-CO"/>
        </w:rPr>
        <w:t xml:space="preserve"> En proyectos de asociación público-privada de iniciativa pública del orden nacional, la entidad estatal competente podrá reconocer derechos reales sobre inmuebles que no se requieran para la prestación del servicio para el cual se desarrolló el proyecto, como componente de la retribución al inversionista privado.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reglamentará las condiciones bajo las cuales se realizará el reconocimiento de los derechos reales y de explotación sobre inmuebles, garantizando que su tasación sea acorde con su valor en el mercado y a las posibilidades de explotación económica del activo. Adicionalmente, se incluirán en dicha reglamentación las condiciones que permitan que el inversionista privado reciba los ingresos de dicha explotación económica o enajenación, condicionados a la disponibilidad de la infraestructura y al cumplimiento de los estándares de calidad y niveles de servicio pactados.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5°.</w:t>
      </w:r>
      <w:r w:rsidRPr="00BC5DA9">
        <w:rPr>
          <w:rFonts w:ascii="Century Gothic" w:eastAsia="Times New Roman" w:hAnsi="Century Gothic" w:cs="Segoe UI"/>
          <w:lang w:eastAsia="es-CO"/>
        </w:rPr>
        <w:t xml:space="preserve"> En caso de que en el proyecto de asociación público-privada la entidad estatal entregue al inversionista privado una infraestructura existente en condiciones de operación, la entidad estatal podrá pactar el derecho a la retribución de los costos de operación y mantenimiento de esta infraestructura existente condicionado a su disponibilidad, al cumplimiento de los niveles de servicio y estándares de calidad.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6°.</w:t>
      </w:r>
      <w:r w:rsidRPr="00BC5DA9">
        <w:rPr>
          <w:rFonts w:ascii="Century Gothic" w:eastAsia="Times New Roman" w:hAnsi="Century Gothic" w:cs="Segoe UI"/>
          <w:lang w:eastAsia="es-CO"/>
        </w:rPr>
        <w:t xml:space="preserve"> En proyectos de asociación público-privada, podrán establecerse, unidades funcionales de tramos de túneles o de vías férreas, en virtud de las cuales se predicará únicamente disponibilidad parcial y estándar </w:t>
      </w:r>
      <w:r w:rsidRPr="00BC5DA9">
        <w:rPr>
          <w:rFonts w:ascii="Century Gothic" w:eastAsia="Times New Roman" w:hAnsi="Century Gothic" w:cs="Segoe UI"/>
          <w:lang w:eastAsia="es-CO"/>
        </w:rPr>
        <w:lastRenderedPageBreak/>
        <w:t>de calidad para efectos de la retribución. El Gobierno nacional reglamentará la materia”.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Iniciativas privadas que requieren desembolsos de recursos públicos. </w:t>
      </w:r>
      <w:r w:rsidRPr="00BC5DA9">
        <w:rPr>
          <w:rFonts w:ascii="Century Gothic" w:eastAsia="Times New Roman" w:hAnsi="Century Gothic" w:cs="Segoe UI"/>
          <w:lang w:eastAsia="es-CO"/>
        </w:rPr>
        <w:t>Modifíquese el artículo 17 de la Ley 1508 de 2012,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17. </w:t>
      </w:r>
      <w:r w:rsidRPr="00BC5DA9">
        <w:rPr>
          <w:rFonts w:ascii="Century Gothic" w:eastAsia="Times New Roman" w:hAnsi="Century Gothic" w:cs="Segoe UI"/>
          <w:b/>
          <w:bCs/>
          <w:i/>
          <w:iCs/>
          <w:lang w:eastAsia="es-CO"/>
        </w:rPr>
        <w:t xml:space="preserve">Iniciativas privadas que requieren desembolsos de recursos públicos. </w:t>
      </w:r>
      <w:r w:rsidRPr="00BC5DA9">
        <w:rPr>
          <w:rFonts w:ascii="Century Gothic" w:eastAsia="Times New Roman" w:hAnsi="Century Gothic" w:cs="Segoe UI"/>
          <w:lang w:eastAsia="es-CO"/>
        </w:rPr>
        <w:t>Logrado el acuerdo entre la entidad estatal competente y el originador de la iniciativa, pero requiriendo la ejecución del proyecto desembolsos de recursos públicos, se abrirá una licitación pública para seleccionar el contratista que adelante el proyecto que el originador ha propuesto, proceso de selección en el cual quien presentó la iniciativa tendrá una bonificación en su calificación entre el 3 y el 10% sobre su calificación inicial, dependiendo del tamaño y complejidad del proyecto, para compensar su actividad previa, en los términos que señale el reglamento.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esta clase de proyectos de asociación público-privada, los recursos del Presupuesto General de la Nación, de las entidades territoriales o de otros fondos públicos, no podrán ser superiores al 30% del presupuesto estimado de inversión del proyecto. Tratándose de proyectos de infraestructura vial de carreteras dicho porcentaje no podrá ser superior al 20% del presupuesto estimado de inversión del proyecto.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Si el originador no resulta seleccionado para la ejecución del contrato, deberá recibir del adjudicatario el valor que la entidad pública competente haya determinado, antes de la licitación, como costos de los estudios realizados para la estructuración del proyecto.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todos los casos la entidad estatal competente, deberá cumplir con los requisitos establecidos en el artículo 11, numerales 11.2 y siguientes de la presente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39.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Fortalecimiento al desarrollo de software, aplicaciones y contenidos digitales con impacto social. </w:t>
      </w:r>
      <w:r w:rsidRPr="00BC5DA9">
        <w:rPr>
          <w:rFonts w:ascii="Century Gothic" w:eastAsia="Times New Roman" w:hAnsi="Century Gothic" w:cs="Segoe UI"/>
          <w:lang w:eastAsia="es-CO"/>
        </w:rPr>
        <w:t>El Ministerio de las Tecnologías de la Información y las Comunicaciones (</w:t>
      </w:r>
      <w:proofErr w:type="spellStart"/>
      <w:r w:rsidRPr="00BC5DA9">
        <w:rPr>
          <w:rFonts w:ascii="Century Gothic" w:eastAsia="Times New Roman" w:hAnsi="Century Gothic" w:cs="Segoe UI"/>
          <w:lang w:eastAsia="es-CO"/>
        </w:rPr>
        <w:t>MinTIC</w:t>
      </w:r>
      <w:proofErr w:type="spellEnd"/>
      <w:r w:rsidRPr="00BC5DA9">
        <w:rPr>
          <w:rFonts w:ascii="Century Gothic" w:eastAsia="Times New Roman" w:hAnsi="Century Gothic" w:cs="Segoe UI"/>
          <w:lang w:eastAsia="es-CO"/>
        </w:rPr>
        <w:t>), a través del Fondo de Tecnologías de la Información y las Comunicaciones (</w:t>
      </w:r>
      <w:proofErr w:type="spellStart"/>
      <w:r w:rsidRPr="00BC5DA9">
        <w:rPr>
          <w:rFonts w:ascii="Century Gothic" w:eastAsia="Times New Roman" w:hAnsi="Century Gothic" w:cs="Segoe UI"/>
          <w:lang w:eastAsia="es-CO"/>
        </w:rPr>
        <w:t>Fontic</w:t>
      </w:r>
      <w:proofErr w:type="spellEnd"/>
      <w:r w:rsidRPr="00BC5DA9">
        <w:rPr>
          <w:rFonts w:ascii="Century Gothic" w:eastAsia="Times New Roman" w:hAnsi="Century Gothic" w:cs="Segoe UI"/>
          <w:lang w:eastAsia="es-CO"/>
        </w:rPr>
        <w:t xml:space="preserve">), apoyará la creación de planes específicos de TIC para cada sector, que impulsen el desarrollo de aplicaciones y contenidos digitales con enfoque social, incluyendo las </w:t>
      </w:r>
      <w:proofErr w:type="spellStart"/>
      <w:r w:rsidRPr="00BC5DA9">
        <w:rPr>
          <w:rFonts w:ascii="Century Gothic" w:eastAsia="Times New Roman" w:hAnsi="Century Gothic" w:cs="Segoe UI"/>
          <w:lang w:eastAsia="es-CO"/>
        </w:rPr>
        <w:t>multiplataformas</w:t>
      </w:r>
      <w:proofErr w:type="spellEnd"/>
      <w:r w:rsidRPr="00BC5DA9">
        <w:rPr>
          <w:rFonts w:ascii="Century Gothic" w:eastAsia="Times New Roman" w:hAnsi="Century Gothic" w:cs="Segoe UI"/>
          <w:lang w:eastAsia="es-CO"/>
        </w:rPr>
        <w:t>, por parte de compañías colombianas.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través de las partidas del Fondo para el Desarrollo de la Televisión y los Contenidos, destinadas por la Autoridad Nacional de Televisión (ANTV) a los canales públicos de televisión, se apoyará el desarrollo de contenidos digitales multiplataforma a los beneficiarios establecidos por las normas vigentes.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Definición de una senda de banda ancha regulatoria. </w:t>
      </w:r>
      <w:r w:rsidRPr="00BC5DA9">
        <w:rPr>
          <w:rFonts w:ascii="Century Gothic" w:eastAsia="Times New Roman" w:hAnsi="Century Gothic" w:cs="Segoe UI"/>
          <w:lang w:eastAsia="es-CO"/>
        </w:rPr>
        <w:t xml:space="preserve">La Comisión de Regulación de Comunicaciones (CRC), deberá establecer una senda de crecimiento para la definición regulatoria de banda ancha a largo plazo. Dicha </w:t>
      </w:r>
      <w:r w:rsidRPr="00BC5DA9">
        <w:rPr>
          <w:rFonts w:ascii="Century Gothic" w:eastAsia="Times New Roman" w:hAnsi="Century Gothic" w:cs="Segoe UI"/>
          <w:lang w:eastAsia="es-CO"/>
        </w:rPr>
        <w:lastRenderedPageBreak/>
        <w:t>senda deberá establecer la ruta y los plazos para cerrar las brechas entre los estándares del país y los equivalentes al promedio de la Organización para la Cooperación y Desarrollo Económico, incluyendo los estándares para altas y muy altas velocidades. Para tal efecto, la CRC podrá utilizar criterios diferenciadores atendiendo características geográficas, demográficas y técnicas.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Concesiones de espacios de televisión en el canal nacional de operación pública. </w:t>
      </w:r>
      <w:r w:rsidRPr="00BC5DA9">
        <w:rPr>
          <w:rFonts w:ascii="Century Gothic" w:eastAsia="Times New Roman" w:hAnsi="Century Gothic" w:cs="Segoe UI"/>
          <w:lang w:eastAsia="es-CO"/>
        </w:rPr>
        <w:t>La Autoridad Nacional de Televisión (ANTV) podrá otorgar los espacios de televisión del canal nacional de operación pública, Canal Uno, garantizando el derecho a la información, a la igualdad en el acceso y uso del espectro y al pluralismo informativo en los procesos de selección objetiva que adelante para otorgar la(s) concesión(es), siempre y cuando este o sus socios no tengan participación accionaria en los canales privados de televisión abierta nacional o local. La ANTV determinará el número de concesionarios y condiciones de los contratos, de acuerdo con los estudios técnicos y de mercado que se realicen para estos efectos.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autorización prevista en el presente artículo para la(s) concesión(es) de espacios de televisión de Canal Uno no se homologa a la operación de un canal de operación privada nacional, toda vez que no hay lugar a una asignación de espectro radioeléctrico, en concordancia con lo dispuesto en el artículo 35 de la Ley 182 de 1995. En consecuencia, el operador encargado de la emisión y transmisión del Canal Uno, seguirá siendo el operador público nacional RTVC, o quien haga sus veces.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Sin perjuicio de lo establecido en el literal g) del artículo 5° de la Ley 182 de 1995, la Autoridad Nacional de Televisión, a la hora de definir el valor de la concesión de espacios de programación del canal nacional de operación pública, Canal Uno, tendrá en cuenta los criterios: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Remuneración eficiente de los costos de inversión, operación y mantenimiento de las funciones de emisión y transmisión en cabeza del operador nacional de televisión pública o quien haga sus veces, así como el reconocimiento de las inversiones asociadas con el despliegue de la televisión digital terrestre de operación pública.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El mercado de pauta publicitaria, el nivel de competencia, la población cubierta, el ingreso per cápita, la audiencia potencial y los costos de oportunidad de la red, incluyendo el espectro radioeléctrico.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Plazo y renovación de los permisos para el uso del espectro radioeléctrico</w:t>
      </w:r>
      <w:r w:rsidRPr="00BC5DA9">
        <w:rPr>
          <w:rFonts w:ascii="Century Gothic" w:eastAsia="Times New Roman" w:hAnsi="Century Gothic" w:cs="Segoe UI"/>
          <w:lang w:eastAsia="es-CO"/>
        </w:rPr>
        <w:t>. Modifíquese el primer inciso del artículo 12 de la Ley 1341 de 2009,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12. </w:t>
      </w:r>
      <w:r w:rsidRPr="00BC5DA9">
        <w:rPr>
          <w:rFonts w:ascii="Century Gothic" w:eastAsia="Times New Roman" w:hAnsi="Century Gothic" w:cs="Segoe UI"/>
          <w:b/>
          <w:bCs/>
          <w:i/>
          <w:iCs/>
          <w:lang w:eastAsia="es-CO"/>
        </w:rPr>
        <w:t xml:space="preserve">Plazo y renovación de los permisos para el uso del espectro radioeléctrico. </w:t>
      </w:r>
      <w:r w:rsidRPr="00BC5DA9">
        <w:rPr>
          <w:rFonts w:ascii="Century Gothic" w:eastAsia="Times New Roman" w:hAnsi="Century Gothic" w:cs="Segoe UI"/>
          <w:lang w:eastAsia="es-CO"/>
        </w:rPr>
        <w:t xml:space="preserve">El permiso para el uso del espectro radioeléctrico tendrá un plazo definido inicial hasta de diez (10) años, el cual podrá renovarse a solicitud de parte por períodos de hasta diez (10) años. Para determinar el periodo de </w:t>
      </w:r>
      <w:r w:rsidRPr="00BC5DA9">
        <w:rPr>
          <w:rFonts w:ascii="Century Gothic" w:eastAsia="Times New Roman" w:hAnsi="Century Gothic" w:cs="Segoe UI"/>
          <w:lang w:eastAsia="es-CO"/>
        </w:rPr>
        <w:lastRenderedPageBreak/>
        <w:t>renovación, la autoridad competente tendrá en cuenta, entre otros criterios, razones de interés público, el reordenamiento nacional del espectro radioeléctrico, o el cumplimiento a las atribuciones y disposiciones internacionales de frecuencias, la determinación deberá efectuarse mediante acto administrativo motivado”.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Funciones de la Agencia Nacional del Espectro. </w:t>
      </w:r>
      <w:r w:rsidRPr="00BC5DA9">
        <w:rPr>
          <w:rFonts w:ascii="Century Gothic" w:eastAsia="Times New Roman" w:hAnsi="Century Gothic" w:cs="Segoe UI"/>
          <w:lang w:eastAsia="es-CO"/>
        </w:rPr>
        <w:t>La Agencia Nacional del Espectro, además de las funciones señaladas en el artículo 26 de la Ley 1341 de 2009 y el Decreto 4169 de 2011, cumplirá las siguientes: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Expedir las normas relacionadas con el despliegue de antenas, las cuales contemplarán, entre otras, la potencia máxima de las antenas o límites de exposición de las personas a campos electromagnéticos y las condiciones técnicas para cumplir dichos límites. Lo anterior, con excepción de lo relativo a los componentes de infraestructura pasiva y de soporte y su compartición, en lo que corresponda a la competencia de la Comisión de Regulación de Comunicaciones.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Sanciones en materia TIC. </w:t>
      </w:r>
      <w:r w:rsidRPr="00BC5DA9">
        <w:rPr>
          <w:rFonts w:ascii="Century Gothic" w:eastAsia="Times New Roman" w:hAnsi="Century Gothic" w:cs="Segoe UI"/>
          <w:lang w:eastAsia="es-CO"/>
        </w:rPr>
        <w:t>Modifíquese el artículo 65 de la Ley 1341 de 2009,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65. </w:t>
      </w:r>
      <w:r w:rsidRPr="00BC5DA9">
        <w:rPr>
          <w:rFonts w:ascii="Century Gothic" w:eastAsia="Times New Roman" w:hAnsi="Century Gothic" w:cs="Segoe UI"/>
          <w:b/>
          <w:bCs/>
          <w:i/>
          <w:iCs/>
          <w:lang w:eastAsia="es-CO"/>
        </w:rPr>
        <w:t xml:space="preserve">Sanciones. </w:t>
      </w:r>
      <w:r w:rsidRPr="00BC5DA9">
        <w:rPr>
          <w:rFonts w:ascii="Century Gothic" w:eastAsia="Times New Roman" w:hAnsi="Century Gothic" w:cs="Segoe UI"/>
          <w:lang w:eastAsia="es-CO"/>
        </w:rPr>
        <w:t>Sin perjuicio de la responsabilidad penal o civil en que pueda incurrir el infractor, la persona natural o jurídica que incurra en cualquiera de las infracciones señaladas en el artículo 64 de la presente ley, será sancionada, además de la orden de cesación inmediata de la conducta que sea contraria a las disposiciones previstas en esta ley, con: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Amonestación.</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 Multa hasta por el equivalente a dos mil (2.000) salarios mínimos legales mensuales para personas naturales.</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Multa hasta por el equivalente a quince mil (15.000) salarios mínimos legales mensuales para personas jurídicas.</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4. Suspensión de la operación al público hasta por dos (2) meses.</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5. Caducidad del contrato o cancelación de la licencia, autorización o permiso.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Estándares, modelos y lineamientos de tecnologías de la información y las comunicaciones para los servicios al ciudadano. </w:t>
      </w:r>
      <w:r w:rsidRPr="00BC5DA9">
        <w:rPr>
          <w:rFonts w:ascii="Century Gothic" w:eastAsia="Times New Roman" w:hAnsi="Century Gothic" w:cs="Segoe UI"/>
          <w:lang w:eastAsia="es-CO"/>
        </w:rPr>
        <w:t>Bajo la plena observancia del derecho fundamental de hábeas data, el Ministerio de las Tecnologías de la Información y las Comunicaciones (</w:t>
      </w:r>
      <w:proofErr w:type="spellStart"/>
      <w:r w:rsidRPr="00BC5DA9">
        <w:rPr>
          <w:rFonts w:ascii="Century Gothic" w:eastAsia="Times New Roman" w:hAnsi="Century Gothic" w:cs="Segoe UI"/>
          <w:lang w:eastAsia="es-CO"/>
        </w:rPr>
        <w:t>MinTIC</w:t>
      </w:r>
      <w:proofErr w:type="spellEnd"/>
      <w:r w:rsidRPr="00BC5DA9">
        <w:rPr>
          <w:rFonts w:ascii="Century Gothic" w:eastAsia="Times New Roman" w:hAnsi="Century Gothic" w:cs="Segoe UI"/>
          <w:lang w:eastAsia="es-CO"/>
        </w:rPr>
        <w:t xml:space="preserve">), en coordinación con las entidades responsables de cada uno de los trámites y servicios, definirá y expedirá los estándares, modelos, lineamientos y normas técnicas para la incorporación de las Tecnologías de la Información y las Comunicaciones (TIC), que contribuyan a la mejora de los trámites y servicios que el Estado ofrece al ciudadano, los cuales </w:t>
      </w:r>
      <w:r w:rsidRPr="00BC5DA9">
        <w:rPr>
          <w:rFonts w:ascii="Century Gothic" w:eastAsia="Times New Roman" w:hAnsi="Century Gothic" w:cs="Segoe UI"/>
          <w:lang w:eastAsia="es-CO"/>
        </w:rPr>
        <w:lastRenderedPageBreak/>
        <w:t>deberán ser adoptados por las entidades estatales y aplicarán, entre otros, para los siguientes casos: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Agendamiento electrónico de citas médicas.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Historia clínica electrónica.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Autenticación electrónica.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Publicación de datos abiertos.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Integración de los sistemas de información de trámites y servicios de las entidades estatales con el Portal del Estado colombiano.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f) Implementación de la estrategia de Gobierno en Línea.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g) Marco de referencia de arquitectura empresarial para la gestión de las tecnologías de información en el Estado.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h) Administración, gestión y modernización de la justicia y defensa, entre otras la posibilidad de recibir registrar, tramitar, gestionar y hacer trazabilidad y seguimiento de todo tipo de denuncias y querellas, así como el reporte de control de las mismas.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i) Sistema integrado de seguridad y emergencias (SIES), a nivel territorial y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j) Interoperabilidad de datos como base para la estructuración de la estrategia que sobre la captura, almacenamiento, procesamiento, análisis y publicación de grandes volúmenes de datos (Big Data) formule el Departamento Nacional de Planeación.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k) Servicios de Telemedicina y </w:t>
      </w:r>
      <w:proofErr w:type="spellStart"/>
      <w:r w:rsidRPr="00BC5DA9">
        <w:rPr>
          <w:rFonts w:ascii="Century Gothic" w:eastAsia="Times New Roman" w:hAnsi="Century Gothic" w:cs="Segoe UI"/>
          <w:lang w:eastAsia="es-CO"/>
        </w:rPr>
        <w:t>Telesalud</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Sistema de seguimiento del mercado laboral.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m) El registro de partidos, movimientos y agrupaciones políticas a cargo del Consejo Nacional Electoral, y en especial el registro de afiliados.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Estos trámites y servicios podrán ser ofrecidos por el sector privado. Los trámites y servicios que se presten mediante los estándares definidos en </w:t>
      </w:r>
      <w:proofErr w:type="gramStart"/>
      <w:r w:rsidRPr="00BC5DA9">
        <w:rPr>
          <w:rFonts w:ascii="Century Gothic" w:eastAsia="Times New Roman" w:hAnsi="Century Gothic" w:cs="Segoe UI"/>
          <w:lang w:eastAsia="es-CO"/>
        </w:rPr>
        <w:t>los</w:t>
      </w:r>
      <w:proofErr w:type="gramEnd"/>
      <w:r w:rsidRPr="00BC5DA9">
        <w:rPr>
          <w:rFonts w:ascii="Century Gothic" w:eastAsia="Times New Roman" w:hAnsi="Century Gothic" w:cs="Segoe UI"/>
          <w:lang w:eastAsia="es-CO"/>
        </w:rPr>
        <w:t xml:space="preserve"> literales a), b) y c) serán facultativos para los usuarios de los mismos. El Gobierno nacional reglamentará la materia.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Gobierno nacional, a través del </w:t>
      </w:r>
      <w:proofErr w:type="spellStart"/>
      <w:r w:rsidRPr="00BC5DA9">
        <w:rPr>
          <w:rFonts w:ascii="Century Gothic" w:eastAsia="Times New Roman" w:hAnsi="Century Gothic" w:cs="Segoe UI"/>
          <w:lang w:eastAsia="es-CO"/>
        </w:rPr>
        <w:t>MinTIC</w:t>
      </w:r>
      <w:proofErr w:type="spellEnd"/>
      <w:r w:rsidRPr="00BC5DA9">
        <w:rPr>
          <w:rFonts w:ascii="Century Gothic" w:eastAsia="Times New Roman" w:hAnsi="Century Gothic" w:cs="Segoe UI"/>
          <w:lang w:eastAsia="es-CO"/>
        </w:rPr>
        <w:t xml:space="preserve">, diseñará e implementará políticas, planes y programas que promuevan y optimicen la gestión, el acceso, uso y apropiación de las TIC en el sector público, cuya adopción será de obligatorio cumplimiento por todas las entidades estatales y conforme a la </w:t>
      </w:r>
      <w:r w:rsidRPr="00BC5DA9">
        <w:rPr>
          <w:rFonts w:ascii="Century Gothic" w:eastAsia="Times New Roman" w:hAnsi="Century Gothic" w:cs="Segoe UI"/>
          <w:lang w:eastAsia="es-CO"/>
        </w:rPr>
        <w:lastRenderedPageBreak/>
        <w:t xml:space="preserve">gradualidad que para el efecto establezca el </w:t>
      </w:r>
      <w:proofErr w:type="spellStart"/>
      <w:r w:rsidRPr="00BC5DA9">
        <w:rPr>
          <w:rFonts w:ascii="Century Gothic" w:eastAsia="Times New Roman" w:hAnsi="Century Gothic" w:cs="Segoe UI"/>
          <w:lang w:eastAsia="es-CO"/>
        </w:rPr>
        <w:t>MinTIC</w:t>
      </w:r>
      <w:proofErr w:type="spellEnd"/>
      <w:r w:rsidRPr="00BC5DA9">
        <w:rPr>
          <w:rFonts w:ascii="Century Gothic" w:eastAsia="Times New Roman" w:hAnsi="Century Gothic" w:cs="Segoe UI"/>
          <w:lang w:eastAsia="es-CO"/>
        </w:rPr>
        <w:t>. Tales políticas comportarán el desarrollo de, entre otros, los siguientes temas: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Carpeta ciudadana electrónica. Bajo la plena observancia del derecho fundamental de hábeas data, se podrá ofrecer a todo ciudadano una cuenta de correo electrónico oficial y el acceso a una carpeta ciudadana electrónica que le permitirá contar con un repositorio de información electrónica para almacenar y compartir documentos públicos o privados, recibir comunicados de las entidades públicas, y facilitar las actividades necesarias para interactuar con el Estado. En esta carpeta podrá estar almacenada la historia clínica electrónica. El Min- TIC definirá el modelo de operación y los estándares técnicos y de seguridad de la Carpeta Ciudadana Electrónica. Las entidades del Estado podrán utilizar la Carpeta Ciudadana Electrónica para realizar notificaciones oficiales. Todas las actuaciones que se adelanten a través de las herramientas de esta carpeta tendrán plena validez y fuerza probatoria.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b) Director de Tecnologías y Sistemas de Información. Las entidades estatales tendrán un Director de Tecnologías y Sistemas de Información responsable de ejecutar los planes, programas y proyectos de tecnologías y sistemas de información en la respectiva entidad. Para tales efectos, cada entidad pública efectuará los ajustes necesarios en sus estructuras organizacionales, de acuerdo con sus disponibilidades presupuestales, sin incrementar los gastos de personal. El Director de Tecnologías y Sistemas de Información reportará directamente al representante legal de la entidad a la que pertenezca y se acogerá a los lineamientos que en materia de TI defina el </w:t>
      </w:r>
      <w:proofErr w:type="spellStart"/>
      <w:r w:rsidRPr="00BC5DA9">
        <w:rPr>
          <w:rFonts w:ascii="Century Gothic" w:eastAsia="Times New Roman" w:hAnsi="Century Gothic" w:cs="Segoe UI"/>
          <w:lang w:eastAsia="es-CO"/>
        </w:rPr>
        <w:t>MinTIC</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Funciones del Fondo de Tecnologías de la Información y las Comunicaciones. </w:t>
      </w:r>
      <w:r w:rsidRPr="00BC5DA9">
        <w:rPr>
          <w:rFonts w:ascii="Century Gothic" w:eastAsia="Times New Roman" w:hAnsi="Century Gothic" w:cs="Segoe UI"/>
          <w:lang w:eastAsia="es-CO"/>
        </w:rPr>
        <w:t>El Fondo de Tecnologías de la Información y las comunicaciones cumplirá, además de las señaladas en el artículo 35 de la Ley 1341 de 2009, las siguientes funciones: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Financiar planes, programas y proyectos para apoyar a emprendedores del sector de contenidos y aplicaciones digitales en todas las etapas del negocio, incluyendo el impulso a la vinculación de capital de riesgo para dichos emprendimientos.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 Financiar y fomentar planes, programas y proyectos para el fomento de capital humano en Tecnologías de la Información y Comunicaciones.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Financiar planes, programas y proyectos para el fomento de la industria de software y de contenidos digitales.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4. Financiar planes, programas y proyectos que contribuyan al mejoramiento de la calidad educativa en el país a través del uso de las Tecnologías de la Información y las Comunicaciones.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5. Financiar planes, programas y proyectos para la implementación y puesta en marcha del Sistema Nacional de Telecomunicaciones de Emergencias.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funciones a que se refiere el presente artículo se realizarán previa celebración de convenios interadministrativos con las entidades competentes para desarrollar los planes, programas y proyectos correspondientes.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Servidumbres para garantizar el servicio de comunicación.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Adiciónese un numeral 22 al artículo 22 de la Ley 1341 de 2009,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“22. Conocer y decidir a prevención respecto de las actuaciones administrativas de imposición de servidumbres sobre predios, a solicitud del proveedor de redes y servicios de telecomunicaciones, y en los términos de los artículos 56, 57 y del Capítulo III del Título VII de la Ley 142 de 1994. Lo anterior para garantizar la prestación de los servicios de telecomunicaciones y sin perjuicio de que el proveedor de redes y servicios pueda promover el proceso de imposición de servidumbre al que se refiere la Ley 56 de 1981.</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adelantar los procesos de servidumbre por acto administrativo la Comisión de Regulación de Comunicaciones seguirá lo dispuesto sobre este particular en el Capítulo II del Título II de la Ley 56 de 1981”.</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Bonos hipotecarios. </w:t>
      </w:r>
      <w:r w:rsidRPr="00BC5DA9">
        <w:rPr>
          <w:rFonts w:ascii="Century Gothic" w:eastAsia="Times New Roman" w:hAnsi="Century Gothic" w:cs="Segoe UI"/>
          <w:lang w:eastAsia="es-CO"/>
        </w:rPr>
        <w:t>Modifíquese el inciso primero del artículo 9° de la Ley 546 de 1999,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9°. </w:t>
      </w:r>
      <w:r w:rsidRPr="00BC5DA9">
        <w:rPr>
          <w:rFonts w:ascii="Century Gothic" w:eastAsia="Times New Roman" w:hAnsi="Century Gothic" w:cs="Segoe UI"/>
          <w:b/>
          <w:bCs/>
          <w:i/>
          <w:iCs/>
          <w:lang w:eastAsia="es-CO"/>
        </w:rPr>
        <w:t>Bonos hipotecarios</w:t>
      </w:r>
      <w:r w:rsidRPr="00BC5DA9">
        <w:rPr>
          <w:rFonts w:ascii="Century Gothic" w:eastAsia="Times New Roman" w:hAnsi="Century Gothic" w:cs="Segoe UI"/>
          <w:i/>
          <w:iCs/>
          <w:lang w:eastAsia="es-CO"/>
        </w:rPr>
        <w:t xml:space="preserve">. </w:t>
      </w:r>
      <w:r w:rsidRPr="00BC5DA9">
        <w:rPr>
          <w:rFonts w:ascii="Century Gothic" w:eastAsia="Times New Roman" w:hAnsi="Century Gothic" w:cs="Segoe UI"/>
          <w:lang w:eastAsia="es-CO"/>
        </w:rPr>
        <w:t>Se autoriza a los establecimientos de crédito la emisión de bonos hipotecarios los cuales se enmarcarán dentro de los siguientes lineamientos”: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49.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Sistema Nacional de Proyectos de Interés Nacional y Estratégicos (</w:t>
      </w:r>
      <w:proofErr w:type="spellStart"/>
      <w:r w:rsidRPr="00BC5DA9">
        <w:rPr>
          <w:rFonts w:ascii="Century Gothic" w:eastAsia="Times New Roman" w:hAnsi="Century Gothic" w:cs="Segoe UI"/>
          <w:i/>
          <w:iCs/>
          <w:lang w:eastAsia="es-CO"/>
        </w:rPr>
        <w:t>Sinapine</w:t>
      </w:r>
      <w:proofErr w:type="spellEnd"/>
      <w:r w:rsidRPr="00BC5DA9">
        <w:rPr>
          <w:rFonts w:ascii="Century Gothic" w:eastAsia="Times New Roman" w:hAnsi="Century Gothic" w:cs="Segoe UI"/>
          <w:i/>
          <w:iCs/>
          <w:lang w:eastAsia="es-CO"/>
        </w:rPr>
        <w:t xml:space="preserve">). </w:t>
      </w:r>
      <w:r w:rsidRPr="00BC5DA9">
        <w:rPr>
          <w:rFonts w:ascii="Century Gothic" w:eastAsia="Times New Roman" w:hAnsi="Century Gothic" w:cs="Segoe UI"/>
          <w:lang w:eastAsia="es-CO"/>
        </w:rPr>
        <w:t>El Gobierno Nacional organizará el Sistema Nacional de Proyectos de Interés Nacional y Estratégicos (</w:t>
      </w:r>
      <w:proofErr w:type="spellStart"/>
      <w:r w:rsidRPr="00BC5DA9">
        <w:rPr>
          <w:rFonts w:ascii="Century Gothic" w:eastAsia="Times New Roman" w:hAnsi="Century Gothic" w:cs="Segoe UI"/>
          <w:lang w:eastAsia="es-CO"/>
        </w:rPr>
        <w:t>Sinapine</w:t>
      </w:r>
      <w:proofErr w:type="spellEnd"/>
      <w:r w:rsidRPr="00BC5DA9">
        <w:rPr>
          <w:rFonts w:ascii="Century Gothic" w:eastAsia="Times New Roman" w:hAnsi="Century Gothic" w:cs="Segoe UI"/>
          <w:lang w:eastAsia="es-CO"/>
        </w:rPr>
        <w:t>) como la estrategia de gestión pública para la planeación integral, optimización de los procedimientos y trámites, gestión y seguimiento de los Proyectos de Interés Nacional y Estratégicos (PINE), de origen público, privado o mixto que sean seleccionados como tales por el Gobierno nacional, por su alto impacto en el crecimiento económico y social del país.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 Comisión Intersectorial de Infraestructura y Proyectos Estratégicos (CIIPE) seleccionará los proyectos que serán considerados como PINE y ordenará que se incluyan en el </w:t>
      </w:r>
      <w:proofErr w:type="spellStart"/>
      <w:r w:rsidRPr="00BC5DA9">
        <w:rPr>
          <w:rFonts w:ascii="Century Gothic" w:eastAsia="Times New Roman" w:hAnsi="Century Gothic" w:cs="Segoe UI"/>
          <w:lang w:eastAsia="es-CO"/>
        </w:rPr>
        <w:t>Sinape</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ejecución y desarrollo de los PINE constituye motivo de utilidad pública e interés social, quedando autorizada la expropiación administrativa o judicial de los bienes inmuebles urbanos y rurales que se requieran para tal fin, de conformidad con el artículo 58 de la Constitución Política.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En estos proyectos el área requerida para la construcción y operación debidamente delimitadas, le confiere a la entidad ejecutora o gestora del proyecto la primera opción de compra de todos los inmuebles comprendidos en </w:t>
      </w:r>
      <w:r w:rsidRPr="00BC5DA9">
        <w:rPr>
          <w:rFonts w:ascii="Century Gothic" w:eastAsia="Times New Roman" w:hAnsi="Century Gothic" w:cs="Segoe UI"/>
          <w:lang w:eastAsia="es-CO"/>
        </w:rPr>
        <w:lastRenderedPageBreak/>
        <w:t>tal zona, la cual podrá ejercer durante un periodo de tiempo no mayor a tres (3) años, contados a partir del acto de adjudicación del proyecto, el cual deberá ser registrado en el respectivo folio de matrícula inmobiliaria. Para proyectos de generación eléctrica que decida conformar la comisión tripartita, este plazo contará a partir de la aprobación del manual de valores unitarios, y para los demás proyectos de generación, este plazo se contará a partir de la ejecutoria del acto administrativo mediante el cual se otorga la licencia ambiental.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CIIPE podrá conferirle la categoría PINE a proyectos que hubiesen sido declarados de utilidad pública e interés social antes de la entrada en vigencia de esta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Proyectos de Interés Nacional y Estratégicos (PINE). </w:t>
      </w:r>
      <w:r w:rsidRPr="00BC5DA9">
        <w:rPr>
          <w:rFonts w:ascii="Century Gothic" w:eastAsia="Times New Roman" w:hAnsi="Century Gothic" w:cs="Segoe UI"/>
          <w:lang w:eastAsia="es-CO"/>
        </w:rPr>
        <w:t>A los Proyectos de Interés Nacional y Estratégicos (PINE), les serán aplicables las disposiciones contenidas en las Leyes 9ª de 1989, 388 de 1997 y 1682 de 2013 y demás normas que las reglamenten, modifiquen o adicionen.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inclusión del predio en los PINE se entenderá en los términos del artículo 72 de la Ley 1448 de 2011 como una imposibilidad jurídica para la restitución que impondrá al Fondo de la Unidad Administrativa Especial de Gestión de Restitución de Tierras Despojadas la obligación de compensar a las víctimas con un predio de similares condiciones, en el orden y lineamientos establecidos en el artículo 98 de la Ley 1448 de 2011 y sus decretos reglamentarios. Sin embargo, en estos casos, el pago de la compensación se realizará con cargo a los recursos que se consignen en el depósito judicial efectuado por la entidad propietaria con cargo al proyecto, en virtud del proceso de expropiación.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Las disposiciones previstas en este artículo se podrán aplicar a los proyectos que antes de la promulgación de esta ley hubiesen sido declarados como Proyectos de Interés Nacional y Estratégicos (PINE).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Licencias y permisos ambientales para Proyectos de Interés Nacional y Estratégicos (PINE). </w:t>
      </w:r>
      <w:r w:rsidRPr="00BC5DA9">
        <w:rPr>
          <w:rFonts w:ascii="Century Gothic" w:eastAsia="Times New Roman" w:hAnsi="Century Gothic" w:cs="Segoe UI"/>
          <w:lang w:eastAsia="es-CO"/>
        </w:rPr>
        <w:t>La Autoridad Nacional de Licencias Ambientales (ANLA), tramitará de manera integral y exclusiva los permisos y licencias ambientales requeridos en la ejecución de los Proyectos de Interés Nacional y Estratégicos (PINE).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Los responsables de los proyectos que hayan sido validados como Proyectos de Interés Nacional y Estratégicos (PINE), podrán desistir de los trámites ambientales en curso e iniciarlos nuevamente ante la Autoridad Nacional de Licencias Ambientales (ANLA).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Servidumbre en Proyectos de Interés Nacional y Estratégicos (PINE). </w:t>
      </w:r>
      <w:r w:rsidRPr="00BC5DA9">
        <w:rPr>
          <w:rFonts w:ascii="Century Gothic" w:eastAsia="Times New Roman" w:hAnsi="Century Gothic" w:cs="Segoe UI"/>
          <w:lang w:eastAsia="es-CO"/>
        </w:rPr>
        <w:t>Adiciónese el artículo 32A a la Ley 56 de 1981,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32A. </w:t>
      </w:r>
      <w:r w:rsidRPr="00BC5DA9">
        <w:rPr>
          <w:rFonts w:ascii="Century Gothic" w:eastAsia="Times New Roman" w:hAnsi="Century Gothic" w:cs="Segoe UI"/>
          <w:lang w:eastAsia="es-CO"/>
        </w:rPr>
        <w:t xml:space="preserve">El Gobierno nacional reglamentará el procedimiento para la imposición de servidumbres requeridas para el desarrollo de proyectos de generación y trasmisión de energía eléctrica que hayan sido calificados de </w:t>
      </w:r>
      <w:r w:rsidRPr="00BC5DA9">
        <w:rPr>
          <w:rFonts w:ascii="Century Gothic" w:eastAsia="Times New Roman" w:hAnsi="Century Gothic" w:cs="Segoe UI"/>
          <w:lang w:eastAsia="es-CO"/>
        </w:rPr>
        <w:lastRenderedPageBreak/>
        <w:t>interés nacional y estratégico por la Comisión Intersectorial de Infraestructura y Proyectos Estratégicos (CIIPE)”.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Prórrogas de concesiones mineras. </w:t>
      </w:r>
      <w:r w:rsidRPr="00BC5DA9">
        <w:rPr>
          <w:rFonts w:ascii="Century Gothic" w:eastAsia="Times New Roman" w:hAnsi="Century Gothic" w:cs="Segoe UI"/>
          <w:lang w:eastAsia="es-CO"/>
        </w:rPr>
        <w:t>Como mínimo dos (2) años antes de vencerse el período de explotación y encontrándose a paz y salvo con todas las obligaciones derivadas del contrato, el concesionario podrá solicitar la prórroga del mismo hasta por treinta (30) años, la cual no será automática.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Presentada la solicitud, la Autoridad Minera Nacional determinará si concede o no la prórroga, para lo cual realizará una evaluación del costo-beneficio donde se establecerá la conveniencia de la misma para los intereses del Estado, teniendo en cuenta los criterios que establezca el Gobierno nacional, según la clasificación de la minería.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caso de solicitarse por parte de un titular minero la prórroga de un contrato de concesión, podrá exigirse por la Autoridad Minera Nacional nuevas condiciones frente a los contratos y pactar contraprestaciones adicionales a las regalías.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Los beneficiarios de licencias de explotación que hayan optado por la prórroga de este título minero y los beneficiarios de contratos mineros de pequeña minería celebrados en áreas de aporte, tendrán derecho de preferencia para obtener nuevamente el área objeto del respectivo título minero mediante contrato de concesión en los términos y condiciones establecidos en el inciso 2° de este artículo. Lo anterior sin perjuicio de lo dispuesto por la ley para las zonas de exclusión.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 anterior siempre y cuando acredite estar al día con todas sus obligaciones y alleguen los estudios técnicos que fundamenten la viabilidad de continuar con las actividades de explotación.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En todos los contratos de concesión minera podrán solicitarse prórrogas de la etapa de exploración por periodos de dos (2) años cada una, hasta por un término total de once (11) años, para lo cual el concesionario deberá sustentar las razones técnicas y económicas respectivas, el cumplimiento de la normatividad minero-ambiental, describir y demostrar los trabajos de exploración ejecutados y los que faltan por realizar especificando su duración, las inversiones a efectuar y demostrar que se encuentra al día en las obligaciones de pago del canon superficiario y que mantiene vigente la póliza Minero-Ambiental.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54</w:t>
      </w:r>
      <w:r w:rsidRPr="00BC5DA9">
        <w:rPr>
          <w:rFonts w:ascii="Century Gothic" w:eastAsia="Times New Roman" w:hAnsi="Century Gothic" w:cs="Segoe UI"/>
          <w:b/>
          <w:bCs/>
          <w:lang w:eastAsia="es-CO"/>
        </w:rPr>
        <w:t xml:space="preserve">. </w:t>
      </w:r>
      <w:r w:rsidRPr="00BC5DA9">
        <w:rPr>
          <w:rFonts w:ascii="Century Gothic" w:eastAsia="Times New Roman" w:hAnsi="Century Gothic" w:cs="Segoe UI"/>
          <w:i/>
          <w:iCs/>
          <w:lang w:eastAsia="es-CO"/>
        </w:rPr>
        <w:t xml:space="preserve">Concesiones para uso del recurso hídrico. </w:t>
      </w:r>
      <w:r w:rsidRPr="00BC5DA9">
        <w:rPr>
          <w:rFonts w:ascii="Century Gothic" w:eastAsia="Times New Roman" w:hAnsi="Century Gothic" w:cs="Segoe UI"/>
          <w:lang w:eastAsia="es-CO"/>
        </w:rPr>
        <w:t>Adiciónese un parágrafo al artículo 55 del Decreto-ley 2811 de 1974,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Parágrafo</w:t>
      </w:r>
      <w:r w:rsidRPr="00BC5DA9">
        <w:rPr>
          <w:rFonts w:ascii="Century Gothic" w:eastAsia="Times New Roman" w:hAnsi="Century Gothic" w:cs="Segoe UI"/>
          <w:lang w:eastAsia="es-CO"/>
        </w:rPr>
        <w:t xml:space="preserve">. En caso de ser viable el otorgamiento de una concesión de agua para el uso del recurso hídrico con destino a la operación de plantas de generación de energía eléctrica serán otorgadas por periodos mínimos de veinte años y hasta cincuenta años. Cuando haya lugar a otorgar prórrogas a estas concesiones, las mismas serán otorgadas por periodos mínimos de veinte (20) años, sin superar la vida económica de los proyectos de generación. </w:t>
      </w:r>
      <w:r w:rsidRPr="00BC5DA9">
        <w:rPr>
          <w:rFonts w:ascii="Century Gothic" w:eastAsia="Times New Roman" w:hAnsi="Century Gothic" w:cs="Segoe UI"/>
          <w:lang w:eastAsia="es-CO"/>
        </w:rPr>
        <w:lastRenderedPageBreak/>
        <w:t>Dichas prórrogas deberán tramitarse dentro de los dos (2) últimos años de la concesión.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 anterior, sin perjuicio del seguimiento, vigilancia y control que efectúen dichas autoridades a las concesiones otorgadas y/o sus prórrogas”.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lang w:eastAsia="es-CO"/>
        </w:rPr>
        <w:t>CAPÍTULO II</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bCs/>
          <w:lang w:eastAsia="es-CO"/>
        </w:rPr>
        <w:t>Movilidad Social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Obligatoriedad de la educación media. </w:t>
      </w:r>
      <w:r w:rsidRPr="00BC5DA9">
        <w:rPr>
          <w:rFonts w:ascii="Century Gothic" w:eastAsia="Times New Roman" w:hAnsi="Century Gothic" w:cs="Segoe UI"/>
          <w:lang w:eastAsia="es-CO"/>
        </w:rPr>
        <w:t>La educación media será obligatoria, para lo cual el Estado adelantará las acciones tendientes a asegurar la cobertura hasta el grado once (11) en todos los establecimientos educativos. El Ministerio de Educación Nacional definirá los mecanismos para hacer exigible la atención hasta el grado once (11), de manera progresiva, en todos los establecimientos educativos.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El Gobierno nacional y las entidades territoriales certificadas en educación, diseñarán planes para la implementación de la universalidad de la educación media, de forma gradual, en un plazo que no supere al año 2025 en las zonas urbanas y el 2030 para las zonas rurales. En el proceso de diseño, las facultades de educación del país y las juntas de asociación de padres de familia podrán ser consultadas.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Educación inicial. </w:t>
      </w:r>
      <w:r w:rsidRPr="00BC5DA9">
        <w:rPr>
          <w:rFonts w:ascii="Century Gothic" w:eastAsia="Times New Roman" w:hAnsi="Century Gothic" w:cs="Segoe UI"/>
          <w:lang w:eastAsia="es-CO"/>
        </w:rPr>
        <w:t>La educación inicial es un derecho de los niños y las niñas menores de cinco (5) años de edad.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reglamentará su articulación con el servicio educativo en el marco de la Atención Integral, considerando como mínimo los siguientes aspectos: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El desarrollo del Sistema de Gestión de la Calidad.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La definición del Proceso de tránsito de la educación inicial al grado de preescolar en el Sistema Educativo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Los referentes técnicos y pedagógicos de la educación inicial.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El desarrollo del Sistema de Seguimiento al Desarrollo Integral de la Primera Infancia.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Los procesos para la excelencia del talento humano.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Para su reglamentación, la educación inicial se entenderá como un proceso educativo y pedagógico intencional, permanente y estructurado, a través del cual los niños y las niñas desarrollan su potencial, capacidades y </w:t>
      </w:r>
      <w:r w:rsidRPr="00BC5DA9">
        <w:rPr>
          <w:rFonts w:ascii="Century Gothic" w:eastAsia="Times New Roman" w:hAnsi="Century Gothic" w:cs="Segoe UI"/>
          <w:lang w:eastAsia="es-CO"/>
        </w:rPr>
        <w:lastRenderedPageBreak/>
        <w:t>habilidades por medio del juego, el arte, la literatura y la exploración del medio, contando con la familia como actor central de dicho proceso.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Los niños y niñas entre los 5 y 6 años tienen el derecho a ingresar al grado obligatorio de transición, el cual para los casos en que sea ofrecido por instituciones educativas estatales se sujetará a las reglas que establece la Ley 715 de 2001, o la norma que lo modifique o sustituya.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referentes técnicos pedagógicos deberán contener estándares de inclusión y accesibilidad dando cumplimiento al artículo 11 de la Ley 1618 de 2013 y acorde al artículo 24 de la Convención sobre los Derechos de las Personas con Discapacidad.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Jornadas en los establecimientos educativos. </w:t>
      </w:r>
      <w:r w:rsidRPr="00BC5DA9">
        <w:rPr>
          <w:rFonts w:ascii="Century Gothic" w:eastAsia="Times New Roman" w:hAnsi="Century Gothic" w:cs="Segoe UI"/>
          <w:lang w:eastAsia="es-CO"/>
        </w:rPr>
        <w:t>Modifíquese el artículo 85 de la Ley 115 de 1994,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85. </w:t>
      </w:r>
      <w:r w:rsidRPr="00BC5DA9">
        <w:rPr>
          <w:rFonts w:ascii="Century Gothic" w:eastAsia="Times New Roman" w:hAnsi="Century Gothic" w:cs="Segoe UI"/>
          <w:b/>
          <w:bCs/>
          <w:i/>
          <w:iCs/>
          <w:lang w:eastAsia="es-CO"/>
        </w:rPr>
        <w:t xml:space="preserve">Jornadas en los establecimientos educativos. </w:t>
      </w:r>
      <w:r w:rsidRPr="00BC5DA9">
        <w:rPr>
          <w:rFonts w:ascii="Century Gothic" w:eastAsia="Times New Roman" w:hAnsi="Century Gothic" w:cs="Segoe UI"/>
          <w:lang w:eastAsia="es-CO"/>
        </w:rPr>
        <w:t>El servicio público educativo se prestará en las instituciones educativas en jornada única, la cual se define para todos los efectos, como la jornada escolar en la cual los estudiantes desarrollan actividades que forman parte del plan de estudios del establecimiento educativo y el receso durante al menos siete (7) horas al día. Tratándose de preescolar el tiempo dedicado al plan de estudios será al menos de seis (6) horas.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secretarías de educación implementarán los mecanismos para asegurar que los establecimientos educativos entreguen, dentro de sus informes periódicos de evaluación, la relación del total de horas efectivas desarrolladas en cada una de las áreas obligatorias y fundamentales, establecidas por la Ley General de Educación.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Excepcionalmente, cuando las limitaciones del servicio educativo impidan el desarrollo de la jornada única, podrán ofrecerse dos jornadas escolares, una diurna y otra nocturna, bajo la responsabilidad de una misma administración. La jornada escolar nocturna se destinará, preferentemente, a la educación de adultos de que trata el Título III de la presente ley.</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El Gobierno nacional y las entidades territoriales certificadas en educación, diseñarán planes para la implementación, de forma gradual, de la jornada única en un plazo que no supere al año 2025 en las zonas urbanas y el 2030 para las zonas rurales. En el proceso de diseño, las facultades de educación del país, las juntas de asociación de padres de familias y los docentes podrán ser consultados”.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Sistemas Nacionales de Educación. </w:t>
      </w:r>
      <w:r w:rsidRPr="00BC5DA9">
        <w:rPr>
          <w:rFonts w:ascii="Century Gothic" w:eastAsia="Times New Roman" w:hAnsi="Century Gothic" w:cs="Segoe UI"/>
          <w:lang w:eastAsia="es-CO"/>
        </w:rPr>
        <w:t xml:space="preserve">Créese el Sistema Nacional de Educación Terciaria (SNET), conformado por toda aquella educación o formación posterior a la educación media, cuyo objeto es promover el aprendizaje a un nivel elevado de complejidad y especialización. La construcción de este sistema </w:t>
      </w:r>
      <w:r w:rsidRPr="00BC5DA9">
        <w:rPr>
          <w:rFonts w:ascii="Century Gothic" w:eastAsia="Times New Roman" w:hAnsi="Century Gothic" w:cs="Segoe UI"/>
          <w:lang w:eastAsia="es-CO"/>
        </w:rPr>
        <w:lastRenderedPageBreak/>
        <w:t>no modifica lo dispuesto por el artículo 16 de la Ley 30 de 1992 y el artículo 213 de la Ley 115 de 1994.</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Créese el Sistema Nacional de Calidad de la Educación Terciaria (</w:t>
      </w:r>
      <w:proofErr w:type="spellStart"/>
      <w:r w:rsidRPr="00BC5DA9">
        <w:rPr>
          <w:rFonts w:ascii="Century Gothic" w:eastAsia="Times New Roman" w:hAnsi="Century Gothic" w:cs="Segoe UI"/>
          <w:lang w:eastAsia="es-CO"/>
        </w:rPr>
        <w:t>Sisnacet</w:t>
      </w:r>
      <w:proofErr w:type="spellEnd"/>
      <w:r w:rsidRPr="00BC5DA9">
        <w:rPr>
          <w:rFonts w:ascii="Century Gothic" w:eastAsia="Times New Roman" w:hAnsi="Century Gothic" w:cs="Segoe UI"/>
          <w:lang w:eastAsia="es-CO"/>
        </w:rPr>
        <w:t>), como instancia de integración y coordinación de los organismos, estrategias e instrumentos de educación terciaria, cuyo objeto es asegurar y promover la calidad de la misma.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Créese el Marco Nacional de Cualificaciones (MNC), como un instrumento para clasificar y estructurar los conocimientos, las destrezas y las aptitudes en un esquema de niveles de acuerdo con un conjunto de criterios sobre los aprendizajes logrados por las personas.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Créese el Sistema Nacional de Acumulación y Transferencia de Créditos (SNATC, con la finalidad de afianzar los procesos de aseguramiento de la calidad, acompañar la implementación del Marco Nacional de Cualificaciones, flexibilizar la oferta educativa, lograr la integración entre los diferentes tipos de educación (formal y para el trabajo y el desarrollo humano), generar integración entre los diferentes niveles (básica primaria, básica secundaria, media, educación para el trabajo y el desarrollo humano, y superior), mejorar las capacidades para enfrentar las pruebas nacionales e internacionales y afianzar las relaciones entre el sector educativo y el sector productivo.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Las mallas de equivalencias serán el instrumento que permita el tránsito entre instituciones y niveles educativos en el SNATC. La transparencia de las equivalencias del SNATC dependerá de la concentración de la información desde un único sistema de información, accesible a todos los ciudadanos y que garantice la superación de la ambigüedad y parcialidad en los datos existentes.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Gobierno nacional, a través del Ministerio de Educación Nacional, construirá y reglamentará el Marco Nacional de Cualificaciones (MNC), el Sistema Nacional de Acumulación y Transferencia de Créditos (SNATC), y el Sistema Nacional de Calidad de la Educación Terciaria. El MNC y el SNATC se implementarán de manera paralela, y con integración a los Sistemas de Información.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El Gobierno nacional, a través del Ministerio de Educación Nacional, presentará cada dos (2) años a las Comisiones Sextas del Congreso de la República un informe sobre los diferentes avances y logros del Sistema Nacional de Educación Terciaria (SNET), del Marco Nacional de Cualificaciones (MNC), del Sistema Nacional de Calidad de la Educación Terciaria (</w:t>
      </w:r>
      <w:proofErr w:type="spellStart"/>
      <w:r w:rsidRPr="00BC5DA9">
        <w:rPr>
          <w:rFonts w:ascii="Century Gothic" w:eastAsia="Times New Roman" w:hAnsi="Century Gothic" w:cs="Segoe UI"/>
          <w:lang w:eastAsia="es-CO"/>
        </w:rPr>
        <w:t>Sisnacet</w:t>
      </w:r>
      <w:proofErr w:type="spellEnd"/>
      <w:r w:rsidRPr="00BC5DA9">
        <w:rPr>
          <w:rFonts w:ascii="Century Gothic" w:eastAsia="Times New Roman" w:hAnsi="Century Gothic" w:cs="Segoe UI"/>
          <w:lang w:eastAsia="es-CO"/>
        </w:rPr>
        <w:t>) y del Sistema Nacional de Acumulación y Transferencia de Créditos (SNATC).</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59.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Fondo de Financiamiento de la Infraestructura Educativa Preescolar, básica y media. </w:t>
      </w:r>
      <w:r w:rsidRPr="00BC5DA9">
        <w:rPr>
          <w:rFonts w:ascii="Century Gothic" w:eastAsia="Times New Roman" w:hAnsi="Century Gothic" w:cs="Segoe UI"/>
          <w:lang w:eastAsia="es-CO"/>
        </w:rPr>
        <w:t>Créase el Fondo de Financiamiento de la Infraestructura Educativa Preescolar, básica y media, sin personería jurídica, como una cuenta especial del Ministerio de Educación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Con cargo a los recursos administrados por el Fondo de Financiamiento de la Infraestructura Educativa Preescolar, básica y media, se asumirán los costos en que se incurra para el manejo y control de los recursos, los gastos de operación del fondo, y cualquier otro contrato que se requiera para la estructuración, desarrollo e implementación de esquemas necesarios para lograr la ejecución de los proyectos del Plan Nacional de Infraestructura Educativa.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Fondo de Financiamiento de la Infraestructura Educativa será administrado por una Junta cuya estructura y funcionamiento será definida por el Gobierno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recursos del Fondo de Financiamiento de la Infraestructura Educativa Preescolar, básica y media provendrán de las siguientes fuentes: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Los recursos provenientes del recaudo establecido en el artículo 11 de la Ley 21 de 1982, destinados al Ministerio de Educación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Las partidas que se le asignen en el Presupuesto Nacional y estén contenidas en el Marco Fiscal de Mediano Plazo y el Marco de Gastos de Mediano Plazo.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Los rendimientos financieros derivados de la inversión de sus recursos.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Así mismo, los proyectos de infraestructura educativa que se desarrollen a través del Fondo, podrán contar con recursos provenientes de: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El Sistema General de Regalías destinados a la infraestructura educativa, en los casos en que el OCAD designe al Ministerio de Educación Nacional como ejecutor de los mismos.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Los recursos de cooperación internacional o cooperación de privados que este gestione o se gestionen a su favor.</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f) Aportes de los departamentos, distritos y municipios.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g) Participación del sector privado mediante proyectos de Asociaciones Público- Privadas.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h) Excedentes de los recursos del Sistema General de Participaciones en Educación de las entidades territoriales certificadas en las vigencias anteriores, una vez garantizados los recursos para: 1) saneamiento de deudas, incluyendo las deudas laborales, que resulten del reconocimiento de los costos del servicio educativo siempre que tengan amparo constitucional y legal y estén certificadas por el Ministerio de Educación y la prestación del servicio educativo; y 2) el pago de nómina y contratación de la prestación del servicio educativo de conformidad con lo dispuesto en el artículo 27 de la Ley 715 de 2001 y las normas reglamentarias correspondientes.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En caso de que un proyecto priorizado por la Junta Administradora involucre cualquiera de los recursos de que tratan los literales d), e), f), g) y h) del presente artículo, con cargo al Fondo de Financiamiento de la Infraestructura Educativa se podrán constituir patrimonios autónomos que se regirán por normas de derecho privado en donde podrán confluir todas las fuentes de recursos con las que cuenten los proyectos. Dichos Patrimonios Autónomos, podrán celebrar operaciones de crédito interno o externo a su nombre, para lo cual la Nación podrá otorgar los avales o garantías correspondientes.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Todo proyecto sufragado por el Fondo de Financiamiento de la Infraestructura Educativa deberá contemplar obligatoriamente los ajustes razonables para acceso a la población con discapacidad de que trata la Ley Estatutaria 1618 de 2013.</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Programa para el estímulo a la calidad educativa y la implementación de la jornada única. </w:t>
      </w:r>
      <w:r w:rsidRPr="00BC5DA9">
        <w:rPr>
          <w:rFonts w:ascii="Century Gothic" w:eastAsia="Times New Roman" w:hAnsi="Century Gothic" w:cs="Segoe UI"/>
          <w:lang w:eastAsia="es-CO"/>
        </w:rPr>
        <w:t>Créase el programa para la implementación de la jornada única y el mejoramiento de la calidad de la educación básica y media, el cual se constituirá como un fondo-cuenta de la Nación, adscrito al Ministerio de Educación Nacional. El Ministerio de Educación Nacional reglamentará la implementación del programa, en coordinación con el Departamento Nacional de Planeación y el Ministerio de Hacienda y Crédito Público.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a través del Ministerio de Educación Nacional, podrá utilizar los recursos de este programa para otorgar estímulos a las entidades territoriales certificadas en educación y a los establecimientos educativos, para el mejoramiento de la calidad de la educación básica y media y los procesos de capacitación y actualización de docentes. Los estímulos se otorgarán de conformidad con lo establecido en los acuerdos de desempeño firmados entre la respectiva entidad territorial y/o el establecimiento educativo y el Ministerio de Educación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Adicionalmente con cargo a los recursos de este programa, el Ministerio de Educación Nacional transferirá recursos a las entidades territoriales certificadas en educación, para la implementación de la Jornada Única de conformidad con lo establecido en los acuerdos que al efecto se suscriban.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El otorgamiento de estímulos a la calidad educativa solo se podrá hacer con fundamento en las mejoras que registren los establecimientos educativos, medidas de acuerdo con el índice de calidad que defina el Ministerio de Educación Nacional, el cual se construirá a partir de los resultados de las pruebas administradas por el Instituto Colombiano para el Fomento de la Educación Superior (</w:t>
      </w:r>
      <w:proofErr w:type="spellStart"/>
      <w:r w:rsidRPr="00BC5DA9">
        <w:rPr>
          <w:rFonts w:ascii="Century Gothic" w:eastAsia="Times New Roman" w:hAnsi="Century Gothic" w:cs="Segoe UI"/>
          <w:lang w:eastAsia="es-CO"/>
        </w:rPr>
        <w:t>Icfes</w:t>
      </w:r>
      <w:proofErr w:type="spellEnd"/>
      <w:r w:rsidRPr="00BC5DA9">
        <w:rPr>
          <w:rFonts w:ascii="Century Gothic" w:eastAsia="Times New Roman" w:hAnsi="Century Gothic" w:cs="Segoe UI"/>
          <w:lang w:eastAsia="es-CO"/>
        </w:rPr>
        <w:t>) y de los sistemas de información del Ministerio de Educación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Focalización de subsidios a los créditos del </w:t>
      </w:r>
      <w:proofErr w:type="spellStart"/>
      <w:r w:rsidRPr="00BC5DA9">
        <w:rPr>
          <w:rFonts w:ascii="Century Gothic" w:eastAsia="Times New Roman" w:hAnsi="Century Gothic" w:cs="Segoe UI"/>
          <w:i/>
          <w:iCs/>
          <w:lang w:eastAsia="es-CO"/>
        </w:rPr>
        <w:t>Icetex</w:t>
      </w:r>
      <w:proofErr w:type="spellEnd"/>
      <w:r w:rsidRPr="00BC5DA9">
        <w:rPr>
          <w:rFonts w:ascii="Century Gothic" w:eastAsia="Times New Roman" w:hAnsi="Century Gothic" w:cs="Segoe UI"/>
          <w:i/>
          <w:iCs/>
          <w:lang w:eastAsia="es-CO"/>
        </w:rPr>
        <w:t xml:space="preserve">. </w:t>
      </w:r>
      <w:r w:rsidRPr="00BC5DA9">
        <w:rPr>
          <w:rFonts w:ascii="Century Gothic" w:eastAsia="Times New Roman" w:hAnsi="Century Gothic" w:cs="Segoe UI"/>
          <w:lang w:eastAsia="es-CO"/>
        </w:rPr>
        <w:t xml:space="preserve">Los beneficiarios de créditos de educación superior que se encuentren en los estratos 1, 2, y 3, priorizados en el </w:t>
      </w:r>
      <w:proofErr w:type="spellStart"/>
      <w:r w:rsidRPr="00BC5DA9">
        <w:rPr>
          <w:rFonts w:ascii="Century Gothic" w:eastAsia="Times New Roman" w:hAnsi="Century Gothic" w:cs="Segoe UI"/>
          <w:lang w:eastAsia="es-CO"/>
        </w:rPr>
        <w:t>Sisbén</w:t>
      </w:r>
      <w:proofErr w:type="spellEnd"/>
      <w:r w:rsidRPr="00BC5DA9">
        <w:rPr>
          <w:rFonts w:ascii="Century Gothic" w:eastAsia="Times New Roman" w:hAnsi="Century Gothic" w:cs="Segoe UI"/>
          <w:lang w:eastAsia="es-CO"/>
        </w:rPr>
        <w:t xml:space="preserve">, dentro de los puntos de corte establecidos por el </w:t>
      </w:r>
      <w:r w:rsidRPr="00BC5DA9">
        <w:rPr>
          <w:rFonts w:ascii="Century Gothic" w:eastAsia="Times New Roman" w:hAnsi="Century Gothic" w:cs="Segoe UI"/>
          <w:lang w:eastAsia="es-CO"/>
        </w:rPr>
        <w:lastRenderedPageBreak/>
        <w:t>Ministerio de Educación Nacional, y que terminen su programa, solo pagarán el capital prestado durante su período de estudios, más la inflación causada de acuerdo con los datos publicados por el Departamento Administrativo Nacional de Estadística (DANE), correspondientes al periodo de amortización.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El Gobierno nacional propenderá por un aumento de cobertura de los créditos del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entre la población no focalizada por el subsidio con el objeto de ampliar el otorgamiento de créditos. 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podrá ofrecer opciones de crédito sin amortizaciones durante el periodo de estudios, sin exigencia de colaterales, que podrá incluir apoyos de sostenimiento diferenciales por el municipio o distrito de origen del beneficiario, y que cubran la totalidad de costos del programa de estudios. 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garantizará acceso preferente a estos beneficios para quienes estén matriculados en programas o instituciones con acreditación de alta calidad.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Asimismo, con el propósito de incentivar la permanencia y calidad, se concederá una condonación de la deuda de los créditos de Educación Superior otorgados a través del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de acuerdo con lo que reglamente el Gobierno nacional, a las personas que cumplan los siguientes requisitos: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1. Estar en los estratos 1, 2, y 3, priorizados en el </w:t>
      </w:r>
      <w:proofErr w:type="spellStart"/>
      <w:r w:rsidRPr="00BC5DA9">
        <w:rPr>
          <w:rFonts w:ascii="Century Gothic" w:eastAsia="Times New Roman" w:hAnsi="Century Gothic" w:cs="Segoe UI"/>
          <w:lang w:eastAsia="es-CO"/>
        </w:rPr>
        <w:t>Sisbén</w:t>
      </w:r>
      <w:proofErr w:type="spellEnd"/>
      <w:r w:rsidRPr="00BC5DA9">
        <w:rPr>
          <w:rFonts w:ascii="Century Gothic" w:eastAsia="Times New Roman" w:hAnsi="Century Gothic" w:cs="Segoe UI"/>
          <w:lang w:eastAsia="es-CO"/>
        </w:rPr>
        <w:t>, dentro de los puntos de corte establecidos por el Ministerio de Educación Nacional, al momento del otorgamiento del crédito.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2. Que los resultados de las pruebas Saber Pro estén ubicados en el </w:t>
      </w:r>
      <w:proofErr w:type="spellStart"/>
      <w:r w:rsidRPr="00BC5DA9">
        <w:rPr>
          <w:rFonts w:ascii="Century Gothic" w:eastAsia="Times New Roman" w:hAnsi="Century Gothic" w:cs="Segoe UI"/>
          <w:lang w:eastAsia="es-CO"/>
        </w:rPr>
        <w:t>decil</w:t>
      </w:r>
      <w:proofErr w:type="spellEnd"/>
      <w:r w:rsidRPr="00BC5DA9">
        <w:rPr>
          <w:rFonts w:ascii="Century Gothic" w:eastAsia="Times New Roman" w:hAnsi="Century Gothic" w:cs="Segoe UI"/>
          <w:lang w:eastAsia="es-CO"/>
        </w:rPr>
        <w:t xml:space="preserve"> superior en su respectiva área.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Haber terminado su programa educativo en el periodo señalado para el mismo.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 Nación garantizará y destinará al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los recursos requeridos para compensar los ingresos que deja de percibir por los conceptos anteriores.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Desde 2018 los créditos y becas financiados por 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estarán destinados únicamente a financiar programas que cuenten con acreditación o en su defecto programas en instituciones de educación acreditadas institucionalmente.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Los créditos de educación superior otorgados a la fecha de entrada en vigencia de la presente ley, continuarán con las mismas condiciones que obtuvieron al momento de su otorgamiento.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Las tasas de interés que aplica 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deberán estar siempre por debajo de las tasas de interés comerciales para créditos educativos o de libre inversión que ofrezca el mercado. Los márgenes que se establezcan no podrán obedecer a fines de lucro y tendrán por objeto garantizar la sostenibilidad y viabilidad financiera del sistema de créditos e incentivos que ofrece 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Artículo 62.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Convalidación de títulos en educación superior</w:t>
      </w:r>
      <w:r w:rsidRPr="00BC5DA9">
        <w:rPr>
          <w:rFonts w:ascii="Century Gothic" w:eastAsia="Times New Roman" w:hAnsi="Century Gothic" w:cs="Segoe UI"/>
          <w:lang w:eastAsia="es-CO"/>
        </w:rPr>
        <w:t>. El Ministerio de Educación Nacional establecerá, mediante un reglamento específico, el procedimiento de convalidación de títulos extranjeros de acuerdo con los criterios legalmente establecidos, y según los acuerdos internacionales que existan al respecto.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Ministerio de Educación Nacional contará con dos (2) meses para resolver las solicitudes de convalidación de títulos, cuando la institución que otorgó el título que se somete a convalidación o el programa académico que conduce a la expedición del título a convalidar se encuentren acreditados, o cuenten con un reconocimiento equivalente por parte de una entidad certificadora o evaluadora de alta calidad, reconocida en el país de procedencia del título o a nivel internacional.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solicitudes de convalidación de los títulos universitarios oficiales, no incluidos en los supuestos del inciso anterior, se resolverán en un plazo máximo de cuatro (4) meses.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Los títulos otorgados por instituciones de educación superior, pero no validados por las autoridades de educación oficiales del país de origen de la institución y denominados como universitarios no oficiales o propios, otorgados a partir de la entrada en vigencia de la presente ley, no serán objeto de convalidación.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Sólo se convalidarán aquellos títulos universitarios no oficiales o propios, a los estudiantes que se encuentren matriculados en Programas de Educación Superior que conduzcan a la obtención de títulos universitarios no oficiales o propios, con anterioridad a la expedición de la presente ley, bajo el criterio exclusivo de evaluación académica.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Las Instituciones Estatales no podrán financiar con recursos públicos, aquellos estudios de Educación Superior que conduzcan a la obtención de títulos universitarios no oficiales o propios.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Adjudicación de predios baldíos para la educación y la primera infancia</w:t>
      </w:r>
      <w:r w:rsidRPr="00BC5DA9">
        <w:rPr>
          <w:rFonts w:ascii="Century Gothic" w:eastAsia="Times New Roman" w:hAnsi="Century Gothic" w:cs="Segoe UI"/>
          <w:lang w:eastAsia="es-CO"/>
        </w:rPr>
        <w:t>. Las entidades territoriales, el ICBF y las instituciones de educación superior públicas, podrán solicitar al Instituto Colombiano de Desarrollo Rural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o a la entidad que haga sus veces, la adjudicación de los inmuebles baldíos donde funcionan establecimientos educativos oficiales, de atención a primera infancia en modalidad institucional pública o instituciones de educación superior públicas cuando corresponda al momento de expedición de la presente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xml:space="preserve"> podrá hacer entrega material anticipada del inmueble en la diligencia de inspección ocular del predio. A partir de ese momento se podrán invertir recursos públicos en proyectos de infraestructura sobre estos inmuebles. El desarrollo del proceso administrativo no podrá afectar bajo ninguna circunstancia la prestación del servicio.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Titulación de la posesión material y saneamiento de títulos con falsa tradición sobre inmuebles para la educación y la primera infancia</w:t>
      </w:r>
      <w:r w:rsidRPr="00BC5DA9">
        <w:rPr>
          <w:rFonts w:ascii="Century Gothic" w:eastAsia="Times New Roman" w:hAnsi="Century Gothic" w:cs="Segoe UI"/>
          <w:lang w:eastAsia="es-CO"/>
        </w:rPr>
        <w:t>. Las entidades territoriales, el ICBF y las instituciones de educación superior públicas, podrán adquirir el dominio sobre los inmuebles que posean materialmente y donde operen establecimientos educativos oficiales, de atención a primera infancia en modalidad institucional pública y las instituciones de educación superior públicas según sea el caso, o sanear la falsa tradición de los mismos cuando corresponda, sin importar su valor catastral o comercial, mediante el proceso verbal especial establecido en la Ley 1561 de 2012 y en las leyes que la reformen o modifiquen, el cual se desarrollará en todos los aspectos que le sean aplicables a las entidades territoriales.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el procedimiento previsto en la Ley 1561 de 2012 y para todos los efectos que ella prevé se aplicarán estas reglas: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ejercicio de la competencia que le confieren los artículos 5° y 9° de la Ley 1561 de 2012 el juez de conocimiento subsanará de oficio la demanda cuando no se haya aportado el plano certificado por la autoridad catastral a que se refiere el literal c) del artículo 11 de la misma ley, siempre y cuando el demandante pruebe que solicitó dicho plan certificado y advierta que la entidad competente no dio respuesta a su petición en el plazo fijado por la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En el auto </w:t>
      </w:r>
      <w:proofErr w:type="spellStart"/>
      <w:r w:rsidRPr="00BC5DA9">
        <w:rPr>
          <w:rFonts w:ascii="Century Gothic" w:eastAsia="Times New Roman" w:hAnsi="Century Gothic" w:cs="Segoe UI"/>
          <w:lang w:eastAsia="es-CO"/>
        </w:rPr>
        <w:t>admisorio</w:t>
      </w:r>
      <w:proofErr w:type="spellEnd"/>
      <w:r w:rsidRPr="00BC5DA9">
        <w:rPr>
          <w:rFonts w:ascii="Century Gothic" w:eastAsia="Times New Roman" w:hAnsi="Century Gothic" w:cs="Segoe UI"/>
          <w:lang w:eastAsia="es-CO"/>
        </w:rPr>
        <w:t xml:space="preserve"> de la demanda, el juez ordenará informar de la existencia del proceso a la Superintendencia de Notariado y Registro, al Instituto Colombiano para el Desarrollo Rural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a la Unidad Administrativa Especial de Atención y Reparación Integral a Víctimas y al Instituto Geográfico Agustín Codazzi (IGAC), para que si lo consideran pertinente, haga las manifestaciones a que hubiere lugar en el ámbito de sus funciones.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caso de que las entidades mencionadas en el inciso anterior guarden silencio, el juez continuará el proceso y decidirá lo pertinente con las pruebas que hizo valer el demandante en las oportunidades que establezca la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Política de atención integral en salud</w:t>
      </w:r>
      <w:r w:rsidRPr="00BC5DA9">
        <w:rPr>
          <w:rFonts w:ascii="Century Gothic" w:eastAsia="Times New Roman" w:hAnsi="Century Gothic" w:cs="Segoe UI"/>
          <w:lang w:eastAsia="es-CO"/>
        </w:rPr>
        <w:t>. El Ministerio de Salud y Protección Social (MSPS), dentro del marco de la Ley 1751 de 2015, Estatutaria en Salud, así como las demás leyes vigentes, definirá la política en salud que recibirá la población residente en el territorio colombiano, la cual será de obligatorio cumplimiento para los integrantes del Sistema General de Seguridad Social en Salud (SGSSS) y de las demás entidades que tengan a su cargo acciones en salud, en el marco de sus competencias y funciones.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Para la definición de la política integral en salud se integrarán los siguientes enfoques: i) atención primaria en salud (APS); ii) salud familiar y comunitaria, iii) articulación de las actividades individuales y colectivas y iv) enfoque poblacional y diferencial. Dicha atención tendrá en cuenta los componentes relativos a las rutas de atención para la promoción y mantenimiento de la salud por curso de vida, las rutas de atención específicas por grupos de riesgos, el fortalecimiento del </w:t>
      </w:r>
      <w:r w:rsidRPr="00BC5DA9">
        <w:rPr>
          <w:rFonts w:ascii="Century Gothic" w:eastAsia="Times New Roman" w:hAnsi="Century Gothic" w:cs="Segoe UI"/>
          <w:lang w:eastAsia="es-CO"/>
        </w:rPr>
        <w:lastRenderedPageBreak/>
        <w:t>prestador primario, la operación en redes integrales de servicios, el desarrollo del talento humano, en el marco de la Ley 1164 de 2007, articulación de las intervenciones individuales y colectivas, el desarrollo de incentivos en salud y la definición de requerimientos de información para su seguimiento y evaluación.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El Ministerio de Salud y Protección Social (MSPS) realizará la adaptación de esta política en los ámbitos territoriales con población dispersa, rural y urbana diferenciando a los municipios y distritos que tengan más de un millón de habitantes. Para zonas con población dispersa y rural, se podrá determinar la existencia de uno o varios aseguradores. Si se trata de un único asegurador, el MSPS establecerá las condiciones para su selección.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Para la definición de la política de atención integral, el Ministerio de Salud y Protección Social garantizará una amplia participación de todos los grupos de interés del sector salud: usuarios, prestadores, aseguradores, academia, asociaciones científicas, entes territoriales, entre otros.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Del manejo unificado de los recursos destinados a la financiación del Sistema General de Seguridad Social en Salud (SGSSS)</w:t>
      </w:r>
      <w:r w:rsidRPr="00BC5DA9">
        <w:rPr>
          <w:rFonts w:ascii="Century Gothic" w:eastAsia="Times New Roman" w:hAnsi="Century Gothic" w:cs="Segoe UI"/>
          <w:lang w:eastAsia="es-CO"/>
        </w:rPr>
        <w:t>. Con el fin de garantizar el adecuado flujo y los respectivos controles de recursos del Sistema General de Seguridad Social en Salud, créase una entidad de naturaleza especial del nivel descentralizado del orden nacional asimilada a una empresa industrial y comercial del Estado que se denominará Entidad Administradora de los Recursos del Sistema General de Seguridad Social en Salud (SGSSS). La Entidad hará parte del SGSSS y estará adscrita al Ministerio de Salud y Protección Social (MSPS), con personería jurídica, autonomía administrativa y financiera y patrimonio independiente.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materia laboral los servidores de la Entidad se regirán por las normas generales aplicables a los empleados de la rama ejecutiva del orden nacional; en materia de nomenclatura se regirá por el sistema especial que establezca el Gobierno Nacional. En materia de contratación se regirá por el régimen público.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Entidad tendrá como objeto administrar los recursos que hacen parte del Fondo de Solidaridad y Garantías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los del Fondo de Salvamento y Garantías para el Sector Salud (</w:t>
      </w:r>
      <w:proofErr w:type="spellStart"/>
      <w:r w:rsidRPr="00BC5DA9">
        <w:rPr>
          <w:rFonts w:ascii="Century Gothic" w:eastAsia="Times New Roman" w:hAnsi="Century Gothic" w:cs="Segoe UI"/>
          <w:lang w:eastAsia="es-CO"/>
        </w:rPr>
        <w:t>Fonsaet</w:t>
      </w:r>
      <w:proofErr w:type="spellEnd"/>
      <w:r w:rsidRPr="00BC5DA9">
        <w:rPr>
          <w:rFonts w:ascii="Century Gothic" w:eastAsia="Times New Roman" w:hAnsi="Century Gothic" w:cs="Segoe UI"/>
          <w:lang w:eastAsia="es-CO"/>
        </w:rPr>
        <w:t>), los que financien el aseguramiento en salud, los copagos por concepto de prestaciones no incluidas en el plan de beneficios del Régimen Contributivo, los recursos que se recauden como consecuencia de las gestiones que realiza la Unidad Administrativa Especial de Gestión Pensional y Contribuciones Parafiscales de la Protección Social (UGPP); los cuales confluirán en la Entidad. En ningún caso la Entidad asumirá las funciones asignadas a las Entidades Promotoras de Salud.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desarrollar el objeto la Entidad tendrá las siguientes funciones: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Administrar los recursos del Sistema, de conformidad con lo previsto en el presente artículo.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b) Administrar los recursos del Fondo de Salvamento y Garantías para el Sector Salud (</w:t>
      </w:r>
      <w:proofErr w:type="spellStart"/>
      <w:r w:rsidRPr="00BC5DA9">
        <w:rPr>
          <w:rFonts w:ascii="Century Gothic" w:eastAsia="Times New Roman" w:hAnsi="Century Gothic" w:cs="Segoe UI"/>
          <w:lang w:eastAsia="es-CO"/>
        </w:rPr>
        <w:t>Fonsaet</w:t>
      </w:r>
      <w:proofErr w:type="spellEnd"/>
      <w:r w:rsidRPr="00BC5DA9">
        <w:rPr>
          <w:rFonts w:ascii="Century Gothic" w:eastAsia="Times New Roman" w:hAnsi="Century Gothic" w:cs="Segoe UI"/>
          <w:lang w:eastAsia="es-CO"/>
        </w:rPr>
        <w:t>) creado por el artículo 50 de la Ley 1438 de 2011 y modificado por el artículo 7° de la Ley 1608 de 2013.</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Efectuar el reconocimiento y pago de las Unidades de Pago por Capitación y demás recursos del aseguramiento obligatorio en salud.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Realizar los pagos, efectuar giros directos, a los prestadores de servicios de salud y proveedores de tecnologías en salud, de acuerdo con lo autorizado por el beneficiario de los recursos y adelantar las transferencias que correspondan a los diferentes agentes del Sistema, que en todo caso optimice el flujo de recursos.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Adelantar las verificaciones para el reconocimiento y pago por los distintos conceptos, que promueva la eficiencia en la gestión de los recursos.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f) Desarrollar los mecanismos establecidos en los artículos 41 del Decreto-ley 4107 de 2011 y 9° de la Ley 1608 de 2013.</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g) Administrar la información propia de sus operaciones.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h) Las demás necesarias para el desarrollo de su objeto.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recursos destinados al régimen subsidiado en salud, deberán ser presupuestados y ejecutados sin situación de fondos por parte de las entidades territoriales en el respectivo fondo local, distrital o departamental de salud, según sea el caso. La entidad territorial que no gestione el giro de estos recursos a la Entidad, será responsable del pago en lo que corresponda, sin perjuicio de las sanciones a que haya lugar por la omisión en dicha gestión. Los recursos del Presupuesto General de la Nación destinados al financiamiento del Sistema General de Seguridad Social en Salud (SGSSS) se presupuestarán como transferencias para ser trasladados a la Entidad.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Los recursos administrados por la Entidad harán unidad de caja, excepto los recursos de propiedad de las entidades territoriales, los cuales conservarán su destinación específica y se manejarán en contabilidad separada. La estructuración del presupuesto de gastos se hará por conceptos, dando prioridad al aseguramiento obligatorio en salud. La </w:t>
      </w:r>
      <w:proofErr w:type="spellStart"/>
      <w:r w:rsidRPr="00BC5DA9">
        <w:rPr>
          <w:rFonts w:ascii="Century Gothic" w:eastAsia="Times New Roman" w:hAnsi="Century Gothic" w:cs="Segoe UI"/>
          <w:lang w:eastAsia="es-CO"/>
        </w:rPr>
        <w:t>presupuestación</w:t>
      </w:r>
      <w:proofErr w:type="spellEnd"/>
      <w:r w:rsidRPr="00BC5DA9">
        <w:rPr>
          <w:rFonts w:ascii="Century Gothic" w:eastAsia="Times New Roman" w:hAnsi="Century Gothic" w:cs="Segoe UI"/>
          <w:lang w:eastAsia="es-CO"/>
        </w:rPr>
        <w:t xml:space="preserve"> y contabilización de los recursos administrados no se hará por subcuentas.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 Entidad tendrá domicilio en Bogotá, D. C., sus ingresos estarán conformados por los aportes del Presupuesto General de la Nación definidos a través de la sección presupuestal del Ministerio de Salud y Protección Social, los activos transferidos por la Nación y por otras entidades públicas del orden nacional y territorial y los demás ingresos que a cualquier título perciba. Los recursos recibidos en administración no harán parte del patrimonio de la Entidad. Los gastos requeridos para el desarrollo del objeto de la Entidad se financiarán con un </w:t>
      </w:r>
      <w:r w:rsidRPr="00BC5DA9">
        <w:rPr>
          <w:rFonts w:ascii="Century Gothic" w:eastAsia="Times New Roman" w:hAnsi="Century Gothic" w:cs="Segoe UI"/>
          <w:lang w:eastAsia="es-CO"/>
        </w:rPr>
        <w:lastRenderedPageBreak/>
        <w:t>porcentaje de hasta el cero coma cinco por ciento (0,5%) de los recursos administrados con situación de fondos.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Son órganos de Dirección y Administración de la Entidad el Director General y la Junta Directiva. El Director General será de dedicación exclusiva, de libre nombramiento y remoción del Presidente de la República y actuará como representante legal; como tal, ejercerá las funciones que le correspondan y que le sean asignadas por el decreto de estructura de la Entidad. La Junta Directiva formulará los criterios generales para su adecuada administración y ejercerá las funciones que le señalen su propio reglamento. Estará integrada por cinco (5) miembros así: el Ministro de Salud y Protección Social, quien la presidirá; el Ministro de Hacienda y Crédito Público, quien podrá delegar su participación en sus viceministros; el Director del Departamento Nacional de Planeación, quien podrá delegar su participación en sus subdirectores generales; un (1) representante de los gobernadores y un (1) representante de los alcaldes de municipios y distritos, los cuales serán elegidos de conformidad con el mecanismo que establezca el Gobierno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El Gobierno Nacional determinará el régimen de transición respecto del inicio de las funciones de la Entidad y las diferentes operaciones que realiza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En el periodo de transición se podrán utilizar los excedentes de las diferentes Subcuentas del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para la garantía del aseguramiento en salud. Una vez entre en operación la Entidad a que hace referencia este artículo, se suprimirá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El Gobierno Nacional establecerá las condiciones generales de operación y estructura interna de la Entidad y adoptará la planta de personal necesaria para el cumplimiento de su objeto y funciones.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cobro de los copagos por concepto de prestaciones no incluidas en el plan de beneficios del régimen contributivo tendrá en cuenta la capacidad de pago de los usuarios y en consideración a los usos requeridos por pacientes con enfermedades crónicas y huérfanas.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Recursos que administrará la entidad administradora de los recursos del Sistema General de Seguridad Social en Salud</w:t>
      </w:r>
      <w:r w:rsidRPr="00BC5DA9">
        <w:rPr>
          <w:rFonts w:ascii="Century Gothic" w:eastAsia="Times New Roman" w:hAnsi="Century Gothic" w:cs="Segoe UI"/>
          <w:lang w:eastAsia="es-CO"/>
        </w:rPr>
        <w:t>. La Entidad administrará los siguientes recursos: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Los recursos del Sistema General de Participaciones en Salud del componente de subsidios a la demanda de propiedad de las entidades territoriales, en los términos del artículo 44 de la Ley 1438 de 2011, los cuales se contabilizarán individualmente a nombre de las entidades territoriales.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b) Los recursos del Sistema General de Participaciones que financian </w:t>
      </w:r>
      <w:proofErr w:type="spellStart"/>
      <w:r w:rsidRPr="00BC5DA9">
        <w:rPr>
          <w:rFonts w:ascii="Century Gothic" w:eastAsia="Times New Roman" w:hAnsi="Century Gothic" w:cs="Segoe UI"/>
          <w:lang w:eastAsia="es-CO"/>
        </w:rPr>
        <w:t>Fonsaet</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 Los recursos obtenidos como producto del monopolio de juegos de suerte y azar (novedosos y localizados) que explota, administra y recauda </w:t>
      </w:r>
      <w:proofErr w:type="spellStart"/>
      <w:r w:rsidRPr="00BC5DA9">
        <w:rPr>
          <w:rFonts w:ascii="Century Gothic" w:eastAsia="Times New Roman" w:hAnsi="Century Gothic" w:cs="Segoe UI"/>
          <w:lang w:eastAsia="es-CO"/>
        </w:rPr>
        <w:t>Coljuegos</w:t>
      </w:r>
      <w:proofErr w:type="spellEnd"/>
      <w:r w:rsidRPr="00BC5DA9">
        <w:rPr>
          <w:rFonts w:ascii="Century Gothic" w:eastAsia="Times New Roman" w:hAnsi="Century Gothic" w:cs="Segoe UI"/>
          <w:lang w:eastAsia="es-CO"/>
        </w:rPr>
        <w:t xml:space="preserve"> de propiedad de las entidades territoriales </w:t>
      </w:r>
      <w:proofErr w:type="gramStart"/>
      <w:r w:rsidRPr="00BC5DA9">
        <w:rPr>
          <w:rFonts w:ascii="Century Gothic" w:eastAsia="Times New Roman" w:hAnsi="Century Gothic" w:cs="Segoe UI"/>
          <w:lang w:eastAsia="es-CO"/>
        </w:rPr>
        <w:t>destinados</w:t>
      </w:r>
      <w:proofErr w:type="gramEnd"/>
      <w:r w:rsidRPr="00BC5DA9">
        <w:rPr>
          <w:rFonts w:ascii="Century Gothic" w:eastAsia="Times New Roman" w:hAnsi="Century Gothic" w:cs="Segoe UI"/>
          <w:lang w:eastAsia="es-CO"/>
        </w:rPr>
        <w:t xml:space="preserve"> a financiar el </w:t>
      </w:r>
      <w:r w:rsidRPr="00BC5DA9">
        <w:rPr>
          <w:rFonts w:ascii="Century Gothic" w:eastAsia="Times New Roman" w:hAnsi="Century Gothic" w:cs="Segoe UI"/>
          <w:lang w:eastAsia="es-CO"/>
        </w:rPr>
        <w:lastRenderedPageBreak/>
        <w:t>aseguramiento, los cuales se contabilizarán individualmente a nombre de las entidades territoriales.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Las cotizaciones de los afiliados al Sistema General de Seguridad Social en Salud (SGSSS), incluidos los intereses, recaudados por las Entidades Promotoras de Salud. Las cotizaciones de los afiliados a los regímenes especiales y de excepción con vinculación laboral adicional respecto de la cual estén obligados a contribuir al SGSSS y el aporte solidario de los afiliados a los regímenes de excepción o regímenes especiales a que hacen referencia el artículo 279 de la Ley 100 de 1993 y el parágrafo del artículo 57 de la Ley 30 de 1992.</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Los recursos correspondientes al monto de las Cajas de Compensación Familiar de que trata el artículo 217 de la Ley 100 de 1993.</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f) Los recursos del Impuesto sobre la Renta para la Equidad (CREE) destinados al SGSSS, en los términos previstos en la Ley 1607 de 2012, la Ley 1739 de 2014 y las normas que modifiquen, adicionen o sustituyan estas disposiciones, los cuales serán transferidos a la Entidad, entendiéndose así ejecutados.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g) Los recursos del Presupuesto General de la Nación asignados para garantizar la universalización de la cobertura y la unificación de los planes de beneficios, los cuales serán girados directamente a la Entidad por el Ministerio de Hacienda y Crédito Público, entendiéndose así ejecutados.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h) Los recursos por recaudo del IVA definidos en la Ley 1393 de 2010.</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i) Los recursos del </w:t>
      </w:r>
      <w:proofErr w:type="spellStart"/>
      <w:r w:rsidRPr="00BC5DA9">
        <w:rPr>
          <w:rFonts w:ascii="Century Gothic" w:eastAsia="Times New Roman" w:hAnsi="Century Gothic" w:cs="Segoe UI"/>
          <w:lang w:eastAsia="es-CO"/>
        </w:rPr>
        <w:t>Fonsaet</w:t>
      </w:r>
      <w:proofErr w:type="spellEnd"/>
      <w:r w:rsidRPr="00BC5DA9">
        <w:rPr>
          <w:rFonts w:ascii="Century Gothic" w:eastAsia="Times New Roman" w:hAnsi="Century Gothic" w:cs="Segoe UI"/>
          <w:lang w:eastAsia="es-CO"/>
        </w:rPr>
        <w:t xml:space="preserve"> creado por el Decreto–ley 1032 de 1991.</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j) Los recursos correspondientes a la contribución equivalente al 50% del valor de la prima anual establecida para el Seguro Obligatorio de Accidentes de Tránsito (SOAT) que se cobra con adición a ella.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k) Los recursos recaudados por </w:t>
      </w:r>
      <w:proofErr w:type="spellStart"/>
      <w:r w:rsidRPr="00BC5DA9">
        <w:rPr>
          <w:rFonts w:ascii="Century Gothic" w:eastAsia="Times New Roman" w:hAnsi="Century Gothic" w:cs="Segoe UI"/>
          <w:lang w:eastAsia="es-CO"/>
        </w:rPr>
        <w:t>Indumil</w:t>
      </w:r>
      <w:proofErr w:type="spellEnd"/>
      <w:r w:rsidRPr="00BC5DA9">
        <w:rPr>
          <w:rFonts w:ascii="Century Gothic" w:eastAsia="Times New Roman" w:hAnsi="Century Gothic" w:cs="Segoe UI"/>
          <w:lang w:eastAsia="es-CO"/>
        </w:rPr>
        <w:t xml:space="preserve"> correspondientes al impuesto social a las armas y de municiones y explosivos y los correspondientes a las multas en aplicación de la Ley 1335 de 2009.</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 Los recursos del monopolio de juegos de suerte y azar, diferentes a los que hace referencia el literal c), rentas cedidas de salud y demás recursos generados a favor de las entidades territoriales destinadas a la financiación del Régimen Subsidiado, incluidos los impuestos al consumo que la ley destina a dicho régimen, serán girados directamente por los administradores y/o recaudadores a la Entidad. La entidad territorial titular de los recursos gestionará y verificará que la transferencia se realice conforme a la ley. Este recurso se contabilizará en cuentas individuales a nombre de las Entidades Territoriales propietarias del recurso.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m) Los copagos que por concepto de prestaciones no incluidas en el plan de beneficios del Régimen Contributivo paguen los destinatarios de tales servicios.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n) Los rendimientos financieros generados por la administración de los recursos del Sistema y sus excedentes.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o) Los recursos que se recauden como consecuencia de las gestiones que realiza la Entidad Administrativa Especial de Gestión Pensional y Contribuciones Parafiscales de la Protección Social (UGPP), los cuales serán transferidos directamente a la Unidad sin operación presupuestal.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 Los demás recursos que se destinen a la financiación del aseguramiento obligatorio en salud, de acuerdo con la ley o el reglamento.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q) Los demás que en función a su naturaleza recaudaba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Estos recursos se destinarán 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El pago de las indemnizaciones por muerte o incapacidad permanente y auxilio funerario a víctimas de eventos terroristas o eventos catastróficos, así como los gastos derivados de la atención psicosocial de las víctimas del conflicto en los términos que señala la Ley 1448 de 2011.</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El pago de los gastos derivados de la atención en salud inicial a las víctimas de eventos terroristas y eventos catastróficos de acuerdo con el plan y modelo de ejecución que se defina.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El pago de los gastos financiados con recursos del impuesto social a las armas y de municiones y explosivos y los correspondientes a las multas en aplicación de la Ley 1335 de 2009 que financiarán exclusivamente los usos definidos en la normatividad vigente.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El fortalecimiento de la Red Nacional de Urgencias. Este gasto se hará siempre y cuando, en la respectiva vigencia, se encuentre garantizada la financiación del aseguramiento en salud.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f) A la financiación de los programas de promoción y prevención en el marco de los usos definidos en el artículo 222 de la Ley 100 de 1993.</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g) A la inspección, vigilancia y control a cargo de la Superintendencia Nacional de Salud, de conformidad con lo establecido en el artículo 119 de la Ley 1438 de 2011.</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h) Al pago de prestaciones no incluidas en el plan de beneficios, que venían siendo financiados con recursos del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i) Las medidas de atención de la Ley 1257 de 2008, en los términos que defina el Ministerio de Salud y Protección Social, para la cual los recursos asignados para el efecto, serán transferidos a las entidades territoriales con el fin de que estas sean implementadas a su cargo.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j) A las finalidades señaladas en los artículos 41 del Decreto-ley 4107 de 2011 y 9° de la Ley 1608 de 2013. Este gasto se hará siempre y cuando, en la respectiva vigencia se encuentre garantizada la financiación del aseguramiento en salud.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k) A cubrir los gastos de administración, funcionamiento y operación de la entidad.</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 Las demás destinaciones que haya definido la Ley con cargo a los recursos del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y del </w:t>
      </w:r>
      <w:proofErr w:type="spellStart"/>
      <w:r w:rsidRPr="00BC5DA9">
        <w:rPr>
          <w:rFonts w:ascii="Century Gothic" w:eastAsia="Times New Roman" w:hAnsi="Century Gothic" w:cs="Segoe UI"/>
          <w:lang w:eastAsia="es-CO"/>
        </w:rPr>
        <w:t>Fonsaet</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m) El pago de los gastos e inversiones requeridas que se deriven de la declaratoria de la emergencia sanitaria y/o eventos catastróficos en el país.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recursos a que hace referencia este artículo harán unidad de caja en el fondo, excepto los recursos de propiedad de las entidades territoriales, los cuales conservarán su destinación específica y se manejarán en contabilidad separada dentro del fondo. En la estructuración del presupuesto de gastos se dará prioridad al componente de aseguramiento en salud de la población del país.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Medidas especiales</w:t>
      </w:r>
      <w:r w:rsidRPr="00BC5DA9">
        <w:rPr>
          <w:rFonts w:ascii="Century Gothic" w:eastAsia="Times New Roman" w:hAnsi="Century Gothic" w:cs="Segoe UI"/>
          <w:lang w:eastAsia="es-CO"/>
        </w:rPr>
        <w:t>. Sin perjuicio de lo previsto en las demás normas que regulen la toma de posesión y ante la ocurrencia de cualquiera de las causales previstas en el artículo 114 del Estatuto Orgánico del Sistema Financiero, el Superintendente Nacional de Salud podrá ordenar o autorizar a las entidades vigiladas, la adopción individual o conjunta de las medidas de que trata el artículo 113 del mismo Estatuto, con el fin de salvaguardar la prestación del servicio público de salud y la adecuada gestión financiera de los recursos del Sistema General de Seguridad Social en Salud.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medidas especiales que se ordenen se regirán por lo dispuesto en el Estatuto Orgánico del Sistema Financiero, incluido el artículo 291 y siguientes de ese estatuto, en lo que resulte pertinente a las medidas especiales; el Decreto número 2555 de 2010; las disposiciones aplicables del Sector Salud y las normas que los sustituyan, modifiquen o complementen. El Gobierno Nacional reglamentará la forma de armonizar las medidas especiales o preventivas de la toma de posesión para su adecuada implementación en el Sector Salud.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Con cargo a los recursos del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Subcuenta de Garantías para la Salud, el Gobierno Nacional podrá llevar a cabo cualquiera de las operaciones autorizadas en el artículo 320 del Estatuto Orgánico del Sistema Financiero.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Para garantizar la continuidad de los servicios de salud de los afiliados de la Caja Nacional de Previsión Social de Comunicaciones </w:t>
      </w:r>
      <w:proofErr w:type="spellStart"/>
      <w:r w:rsidRPr="00BC5DA9">
        <w:rPr>
          <w:rFonts w:ascii="Century Gothic" w:eastAsia="Times New Roman" w:hAnsi="Century Gothic" w:cs="Segoe UI"/>
          <w:lang w:eastAsia="es-CO"/>
        </w:rPr>
        <w:t>condónase</w:t>
      </w:r>
      <w:proofErr w:type="spellEnd"/>
      <w:r w:rsidRPr="00BC5DA9">
        <w:rPr>
          <w:rFonts w:ascii="Century Gothic" w:eastAsia="Times New Roman" w:hAnsi="Century Gothic" w:cs="Segoe UI"/>
          <w:lang w:eastAsia="es-CO"/>
        </w:rPr>
        <w:t xml:space="preserve"> toda la obligación que esta entidad tenga con la Nación a la expedición de la presente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reglamentará lo dispuesto en el presente artículo.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69.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Declaración de emergencia sanitaria y/o eventos catastróficos</w:t>
      </w:r>
      <w:r w:rsidRPr="00BC5DA9">
        <w:rPr>
          <w:rFonts w:ascii="Century Gothic" w:eastAsia="Times New Roman" w:hAnsi="Century Gothic" w:cs="Segoe UI"/>
          <w:lang w:eastAsia="es-CO"/>
        </w:rPr>
        <w:t>. El Ministerio de Salud y Protección Social (MSPS) podrá declarar la emergencia sanitaria y/o eventos catastróficos, cuando se presenten situaciones por riesgo de epidemia, epidemia declarada, insuficiencia o desabastecimiento de bienes o servicios de salud o eventos catastróficos que afecten la salud colectiva, u otros cuya magnitud supere la capacidad de adaptación de la comunidad en la que aquel se produce y que la afecten en forma masiva e indiscriminada generando la necesidad de ayuda externa.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los casos mencionados, el MSPS determinará las acciones que se requieran para superar las circunstancias que generaron la emergencia sanitaria y/o eventos catastróficos con el fin de garantizar la existencia y disponibilidad de talento humano, bienes y servicios de salud, de conformidad con la reglamentación que para el efecto expida el Gobierno Nacional. Cuando las acciones requeridas para superar dichas circunstancias tengan que ver con bienes en salud, la regulación que se expida deberá fundamentarse en razones de urgencia extrema.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Lo dispuesto en este artículo podrá financiarse con los recursos que </w:t>
      </w:r>
      <w:proofErr w:type="gramStart"/>
      <w:r w:rsidRPr="00BC5DA9">
        <w:rPr>
          <w:rFonts w:ascii="Century Gothic" w:eastAsia="Times New Roman" w:hAnsi="Century Gothic" w:cs="Segoe UI"/>
          <w:lang w:eastAsia="es-CO"/>
        </w:rPr>
        <w:t>administra</w:t>
      </w:r>
      <w:proofErr w:type="gramEnd"/>
      <w:r w:rsidRPr="00BC5DA9">
        <w:rPr>
          <w:rFonts w:ascii="Century Gothic" w:eastAsia="Times New Roman" w:hAnsi="Century Gothic" w:cs="Segoe UI"/>
          <w:lang w:eastAsia="es-CO"/>
        </w:rPr>
        <w:t xml:space="preserve">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o la entidad que haga sus veces, o por los demás que se definan.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Patentes y licencias obligatorias</w:t>
      </w:r>
      <w:r w:rsidRPr="00BC5DA9">
        <w:rPr>
          <w:rFonts w:ascii="Century Gothic" w:eastAsia="Times New Roman" w:hAnsi="Century Gothic" w:cs="Segoe UI"/>
          <w:lang w:eastAsia="es-CO"/>
        </w:rPr>
        <w:t xml:space="preserve">. El Ministerio de Salud y Protección Social (MSPS) podrá presentar ante la Superintendencia de Industria y Comercio (SIC), dentro del plazo de sesenta (60) días siguientes a la fecha de la publicación de la solicitud de patente, consideraciones técnicas no vinculantes relativas a la </w:t>
      </w:r>
      <w:proofErr w:type="spellStart"/>
      <w:r w:rsidRPr="00BC5DA9">
        <w:rPr>
          <w:rFonts w:ascii="Century Gothic" w:eastAsia="Times New Roman" w:hAnsi="Century Gothic" w:cs="Segoe UI"/>
          <w:lang w:eastAsia="es-CO"/>
        </w:rPr>
        <w:t>patentabilidad</w:t>
      </w:r>
      <w:proofErr w:type="spellEnd"/>
      <w:r w:rsidRPr="00BC5DA9">
        <w:rPr>
          <w:rFonts w:ascii="Century Gothic" w:eastAsia="Times New Roman" w:hAnsi="Century Gothic" w:cs="Segoe UI"/>
          <w:lang w:eastAsia="es-CO"/>
        </w:rPr>
        <w:t xml:space="preserve"> de las solicitudes de patente que sean de su interés.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De acuerdo con lo establecido en la Decisión Andina 486 y la normatividad nacional vigente, el MSPS identificará y analizará los casos de tecnologías en salud patentadas susceptibles de obtener una licencia obligatoria. El MSPS podrá solicitar a la SIC la concesión de licencias obligatorias, y analizará y preparará la información requerida dentro del procedimiento de concesión de ese tipo de licencias.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Negociación centralizada de medicamentos, insumos y dispositivos</w:t>
      </w:r>
      <w:r w:rsidRPr="00BC5DA9">
        <w:rPr>
          <w:rFonts w:ascii="Century Gothic" w:eastAsia="Times New Roman" w:hAnsi="Century Gothic" w:cs="Segoe UI"/>
          <w:lang w:eastAsia="es-CO"/>
        </w:rPr>
        <w:t>. El artículo 88 de la Ley 1438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88. </w:t>
      </w:r>
      <w:r w:rsidRPr="00BC5DA9">
        <w:rPr>
          <w:rFonts w:ascii="Century Gothic" w:eastAsia="Times New Roman" w:hAnsi="Century Gothic" w:cs="Segoe UI"/>
          <w:b/>
          <w:bCs/>
          <w:i/>
          <w:iCs/>
          <w:lang w:eastAsia="es-CO"/>
        </w:rPr>
        <w:t xml:space="preserve">Negociación centralizada de medicamentos, insumos y dispositivos. </w:t>
      </w:r>
      <w:r w:rsidRPr="00BC5DA9">
        <w:rPr>
          <w:rFonts w:ascii="Century Gothic" w:eastAsia="Times New Roman" w:hAnsi="Century Gothic" w:cs="Segoe UI"/>
          <w:lang w:eastAsia="es-CO"/>
        </w:rPr>
        <w:t>El Ministerio de Salud y Protección Social (MSPS) establecerá los mecanismos para adelantar negociaciones centralizadas de precios de medicamentos, insumos y dispositivos.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precios resultantes de las negociaciones centralizadas serán obligatorios para los proveedores y compradores de medicamentos, insumos y dispositivos de servicios de salud y estos no podrán transarlos por encima de aquellos precios. El Gobierno Nacional podrá acudir subsidiariamente a la compra directa de medicamentos, insumos y dispositivos”.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Registros sanitarios de medicamentos y dispositivos médicos</w:t>
      </w:r>
      <w:r w:rsidRPr="00BC5DA9">
        <w:rPr>
          <w:rFonts w:ascii="Century Gothic" w:eastAsia="Times New Roman" w:hAnsi="Century Gothic" w:cs="Segoe UI"/>
          <w:lang w:eastAsia="es-CO"/>
        </w:rPr>
        <w:t>. La evaluación que realice el Instituto de Evaluación Tecnológica en Salud (IETS) a los medicamentos y dispositivos médicos definidos por el Ministerio de Salud y Protección Social (MSPS) y el precio que este ministerio determine con base en esa evaluación, serán requisitos para la expedición del correspondiente registro sanitario y/o su renovación por parte del Instituto Nacional de Vigilancia de Medicamentos y Alimentos (</w:t>
      </w:r>
      <w:proofErr w:type="spellStart"/>
      <w:r w:rsidRPr="00BC5DA9">
        <w:rPr>
          <w:rFonts w:ascii="Century Gothic" w:eastAsia="Times New Roman" w:hAnsi="Century Gothic" w:cs="Segoe UI"/>
          <w:lang w:eastAsia="es-CO"/>
        </w:rPr>
        <w:t>Invima</w:t>
      </w:r>
      <w:proofErr w:type="spellEnd"/>
      <w:r w:rsidRPr="00BC5DA9">
        <w:rPr>
          <w:rFonts w:ascii="Century Gothic" w:eastAsia="Times New Roman" w:hAnsi="Century Gothic" w:cs="Segoe UI"/>
          <w:lang w:eastAsia="es-CO"/>
        </w:rPr>
        <w:t xml:space="preserve">). El proceso de determinación del precio de que trata este artículo se hará en forma simultánea con el trámite de registro sanitario ante el </w:t>
      </w:r>
      <w:proofErr w:type="spellStart"/>
      <w:r w:rsidRPr="00BC5DA9">
        <w:rPr>
          <w:rFonts w:ascii="Century Gothic" w:eastAsia="Times New Roman" w:hAnsi="Century Gothic" w:cs="Segoe UI"/>
          <w:lang w:eastAsia="es-CO"/>
        </w:rPr>
        <w:t>Invima</w:t>
      </w:r>
      <w:proofErr w:type="spellEnd"/>
      <w:r w:rsidRPr="00BC5DA9">
        <w:rPr>
          <w:rFonts w:ascii="Century Gothic" w:eastAsia="Times New Roman" w:hAnsi="Century Gothic" w:cs="Segoe UI"/>
          <w:lang w:eastAsia="es-CO"/>
        </w:rPr>
        <w:t>. Para tal efecto, el MSPS establecerá el procedimiento que incluya los criterios para determinar las tecnologías que estarán sujetas a este mecanismo y los términos para el mismo, los cuales no podrán superar los fijados en la normatividad vigente para la expedición del correspondiente registro sanitario.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Corresponderá a la Comisión Nacional de Precios de Medicamentos o Dispositivos, cuando así lo delegue el Gobierno Nacional, la definición de la metodología y los mecanismos de regulación de precios de medicamentos, así como la regulación de los márgenes de distribución y comercialización de los mismos.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Para lo previsto en el inciso primero, créase una tasa administrada por el MSPS, a cargo de personas naturales y/o jurídicas que comercialicen en el país medicamentos y dispositivos médicos. De acuerdo con el inciso segundo del artículo 338 de la Constitución Política, el MSPS fijará la tarifa de la tasa, la cual incluirá el valor por el servicio prestado. El sistema para definir la tarifa de esta tasa es un sistema de costos </w:t>
      </w:r>
      <w:proofErr w:type="spellStart"/>
      <w:r w:rsidRPr="00BC5DA9">
        <w:rPr>
          <w:rFonts w:ascii="Century Gothic" w:eastAsia="Times New Roman" w:hAnsi="Century Gothic" w:cs="Segoe UI"/>
          <w:lang w:eastAsia="es-CO"/>
        </w:rPr>
        <w:t>estandarizables</w:t>
      </w:r>
      <w:proofErr w:type="spellEnd"/>
      <w:r w:rsidRPr="00BC5DA9">
        <w:rPr>
          <w:rFonts w:ascii="Century Gothic" w:eastAsia="Times New Roman" w:hAnsi="Century Gothic" w:cs="Segoe UI"/>
          <w:lang w:eastAsia="es-CO"/>
        </w:rPr>
        <w:t>, cuyas valoraciones y ponderaciones de los factores que intervienen en su definición se realizan por procedimientos técnicamente aceptados de costeo. El método seguirá las siguientes pautas técnicas: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Elaboración y normalización de flujogramas para los diferentes procesos con el propósito de determinar sus rutinas.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Cuantificación de recurso humano utilizado anualmente en cada uno de los procesos y procedimientos definidos en el literal anterior.</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c) Cuantificación de los costos y programas de tecnificación y modernización de la operación de los servicios.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Estimación de las frecuencias de utilización de los servicios generadores de la tasa.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El </w:t>
      </w:r>
      <w:proofErr w:type="spellStart"/>
      <w:r w:rsidRPr="00BC5DA9">
        <w:rPr>
          <w:rFonts w:ascii="Century Gothic" w:eastAsia="Times New Roman" w:hAnsi="Century Gothic" w:cs="Segoe UI"/>
          <w:lang w:eastAsia="es-CO"/>
        </w:rPr>
        <w:t>Invima</w:t>
      </w:r>
      <w:proofErr w:type="spellEnd"/>
      <w:r w:rsidRPr="00BC5DA9">
        <w:rPr>
          <w:rFonts w:ascii="Century Gothic" w:eastAsia="Times New Roman" w:hAnsi="Century Gothic" w:cs="Segoe UI"/>
          <w:lang w:eastAsia="es-CO"/>
        </w:rPr>
        <w:t xml:space="preserve"> podrá modificar a solicitud del MSPS, las indicaciones, contraindicaciones e interacciones de un medicamento, con base en la evidencia científica y por salud pública.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En todo caso, la evaluación de que trata el presente artículo no será exigida cuando los medicamentos y dispositivos médicos sean producidos con fines de exportación exclusivamente.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Procesos de recobros, reclamaciones y reconocimiento y giro de recursos del aseguramiento en salud</w:t>
      </w:r>
      <w:r w:rsidRPr="00BC5DA9">
        <w:rPr>
          <w:rFonts w:ascii="Century Gothic" w:eastAsia="Times New Roman" w:hAnsi="Century Gothic" w:cs="Segoe UI"/>
          <w:lang w:eastAsia="es-CO"/>
        </w:rPr>
        <w:t xml:space="preserve">. Los procesos de recobros, reclamaciones y reconocimiento y giro de recursos del aseguramiento en Salud que se surten ante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o la entidad que asuma sus funciones se regirán por las siguientes reglas: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Tratándose de recobros y reclamaciones: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a) El término para efectuar reclamaciones o recobros que deban atenderse con cargo a los recursos de las diferentes subcuentas del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será de tres (3) años a partir de la fecha de la prestación del servicio, de la entrega de la tecnología en salud o del egreso del paciente. Finalizado dicho plazo, sin haberse presentado la reclamación o recobro, prescribirá el derecho a recibir el pago y se extingue la obligación para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El término para la caducidad de la acción legal que corresponda, se contará a partir de la fecha de la última comunicación de glosa impuesta en los procesos ordinarios de radicación, por parte del Ministerio de Salud y Protección Social (MSPS) o quien este designe.</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 En el caso de los recobros y reclamaciones que hayan sido glosados por el </w:t>
      </w:r>
      <w:proofErr w:type="spellStart"/>
      <w:r w:rsidRPr="00BC5DA9">
        <w:rPr>
          <w:rFonts w:ascii="Century Gothic" w:eastAsia="Times New Roman" w:hAnsi="Century Gothic" w:cs="Segoe UI"/>
          <w:lang w:eastAsia="es-CO"/>
        </w:rPr>
        <w:t>Fosyga</w:t>
      </w:r>
      <w:proofErr w:type="spellEnd"/>
      <w:r w:rsidRPr="00BC5DA9">
        <w:rPr>
          <w:rFonts w:ascii="Century Gothic" w:eastAsia="Times New Roman" w:hAnsi="Century Gothic" w:cs="Segoe UI"/>
          <w:lang w:eastAsia="es-CO"/>
        </w:rPr>
        <w:t xml:space="preserve"> y sobre los cuales no haya operado el término de caducidad de la acción legal que corresponda, solo se exigirá para su reconocimiento y pago los requisitos esenciales que demuestren la existencia de la respectiva obligación, los cuales serán determinados por el MSPS. Para tales efectos, las entidades recobrantes deberán autorizar el giro directo del valor total que se llegue a aprobar a favor de las Instituciones Prestadoras de Servicios de Salud (IPS) habilitadas. El pago de las solicitudes aprobadas estará sujeto a la disponibilidad presupuestal de recursos para cada vigencia, sin que haya lugar al reconocimiento de intereses moratorios por las solicitudes que se presenten bajo este mecanismo.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procesos de reconocimiento y giro de los recursos del aseguramiento de Seguridad Social en Salud quedarán en firme transcurridos dos (2) años después de su realización. Cumplido dicho plazo, no procederá reclamación alguna.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Política nacional de trabajo decente</w:t>
      </w:r>
      <w:r w:rsidRPr="00BC5DA9">
        <w:rPr>
          <w:rFonts w:ascii="Century Gothic" w:eastAsia="Times New Roman" w:hAnsi="Century Gothic" w:cs="Segoe UI"/>
          <w:lang w:eastAsia="es-CO"/>
        </w:rPr>
        <w:t>. El Gobierno Nacional bajo la coordinación del Ministerio del Trabajo, adoptará la política nacional de trabajo decente, para promover la generación de empleo, la formalización laboral y la protección de los trabajadores de los sectores público y privado. Las entidades territoriales formularán políticas de trabajo decente en sus planes de desarrollo, en concordancia con los lineamientos que expida el Ministerio del Trabajo.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también fijará las reglas para garantizar que las empresas cumplan plenamente las normas laborales en los procesos de tercerización.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deberá garantizar que las actividades permanentes de las entidades públicas sean desarrolladas por personal vinculado a plantas de personal, con excepción de los casos señalados en la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Fortalecimiento del diálogo social y la concertación</w:t>
      </w:r>
      <w:r w:rsidRPr="00BC5DA9">
        <w:rPr>
          <w:rFonts w:ascii="Century Gothic" w:eastAsia="Times New Roman" w:hAnsi="Century Gothic" w:cs="Segoe UI"/>
          <w:lang w:eastAsia="es-CO"/>
        </w:rPr>
        <w:t>. El Gobierno Nacional a través del Ministerio del Trabajo impulsará programas con enfoque territorial que fortalezcan el Diálogo Social y la concertación laboral, la prevalencia de los derechos fundamentales del trabajo y la sostenibilidad de las empresas.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Medidas para evitar la concentración de riesgos y la selección adversa en el sistema general de riesgos laborales</w:t>
      </w:r>
      <w:r w:rsidRPr="00BC5DA9">
        <w:rPr>
          <w:rFonts w:ascii="Century Gothic" w:eastAsia="Times New Roman" w:hAnsi="Century Gothic" w:cs="Segoe UI"/>
          <w:lang w:eastAsia="es-CO"/>
        </w:rPr>
        <w:t>. Adiciónese el literal q), al artículo 46 del Estatuto Orgánico del Sistema Financiero: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“q). que se definan medidas necesarias para evitar la concentración de riesgos y la selección adversa de afiliados por parte de las Administradoras de Riesgos Laborales”.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Ampliación y seguimiento del mecanismo de protección al cesante</w:t>
      </w:r>
      <w:r w:rsidRPr="00BC5DA9">
        <w:rPr>
          <w:rFonts w:ascii="Century Gothic" w:eastAsia="Times New Roman" w:hAnsi="Century Gothic" w:cs="Segoe UI"/>
          <w:lang w:eastAsia="es-CO"/>
        </w:rPr>
        <w:t>. El Ministerio del Trabajo adoptará las medidas necesarias para fortalecer la operación del Mecanismo de Protección al Cesante como principal herramienta para la integración de políticas activas de empleo y la mitigación de los efectos nocivos del desempleo.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Con el fin de facilitar y mejorar el enganche laboral efectivo de la población y para estimular la vinculación de aprendices, practicantes y trabajadores a empresas, el Ministerio del Trabajo podrá disponer anualmente recursos del </w:t>
      </w:r>
      <w:proofErr w:type="spellStart"/>
      <w:r w:rsidRPr="00BC5DA9">
        <w:rPr>
          <w:rFonts w:ascii="Century Gothic" w:eastAsia="Times New Roman" w:hAnsi="Century Gothic" w:cs="Segoe UI"/>
          <w:lang w:eastAsia="es-CO"/>
        </w:rPr>
        <w:t>Fosfec</w:t>
      </w:r>
      <w:proofErr w:type="spellEnd"/>
      <w:r w:rsidRPr="00BC5DA9">
        <w:rPr>
          <w:rFonts w:ascii="Century Gothic" w:eastAsia="Times New Roman" w:hAnsi="Century Gothic" w:cs="Segoe UI"/>
          <w:lang w:eastAsia="es-CO"/>
        </w:rPr>
        <w:t xml:space="preserve"> para el reconocimiento de bonos de alimentación a cesantes, a la promoción de la formación en empresa y el desarrollo de incentivos para eliminar las barreras de acceso al mercado laboral previa realización de estudios sobre atención de necesidades sociales. Lo anterior, sin perjuicio de las otras destinaciones de los recursos que integran el </w:t>
      </w:r>
      <w:proofErr w:type="spellStart"/>
      <w:r w:rsidRPr="00BC5DA9">
        <w:rPr>
          <w:rFonts w:ascii="Century Gothic" w:eastAsia="Times New Roman" w:hAnsi="Century Gothic" w:cs="Segoe UI"/>
          <w:lang w:eastAsia="es-CO"/>
        </w:rPr>
        <w:t>Fosfec</w:t>
      </w:r>
      <w:proofErr w:type="spellEnd"/>
      <w:r w:rsidRPr="00BC5DA9">
        <w:rPr>
          <w:rFonts w:ascii="Century Gothic" w:eastAsia="Times New Roman" w:hAnsi="Century Gothic" w:cs="Segoe UI"/>
          <w:lang w:eastAsia="es-CO"/>
        </w:rPr>
        <w:t>, en los términos de la Ley 1636 de 2013.</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Supresión de cuotas partes pensionales</w:t>
      </w:r>
      <w:r w:rsidRPr="00BC5DA9">
        <w:rPr>
          <w:rFonts w:ascii="Century Gothic" w:eastAsia="Times New Roman" w:hAnsi="Century Gothic" w:cs="Segoe UI"/>
          <w:lang w:eastAsia="es-CO"/>
        </w:rPr>
        <w:t xml:space="preserve">. Las entidades públicas del orden nacional que formen parte del Presupuesto General de la Nación, cualquiera sea su naturaleza, y </w:t>
      </w:r>
      <w:proofErr w:type="spellStart"/>
      <w:r w:rsidRPr="00BC5DA9">
        <w:rPr>
          <w:rFonts w:ascii="Century Gothic" w:eastAsia="Times New Roman" w:hAnsi="Century Gothic" w:cs="Segoe UI"/>
          <w:lang w:eastAsia="es-CO"/>
        </w:rPr>
        <w:t>Colpensiones</w:t>
      </w:r>
      <w:proofErr w:type="spellEnd"/>
      <w:r w:rsidRPr="00BC5DA9">
        <w:rPr>
          <w:rFonts w:ascii="Century Gothic" w:eastAsia="Times New Roman" w:hAnsi="Century Gothic" w:cs="Segoe UI"/>
          <w:lang w:eastAsia="es-CO"/>
        </w:rPr>
        <w:t xml:space="preserve">, suprimirán las obligaciones por concepto de cuotas partes pensionales. Esta posibilidad aplicará tanto para las cuotas causadas como a las que a futuro se causen. Para el efecto, las entidades </w:t>
      </w:r>
      <w:r w:rsidRPr="00BC5DA9">
        <w:rPr>
          <w:rFonts w:ascii="Century Gothic" w:eastAsia="Times New Roman" w:hAnsi="Century Gothic" w:cs="Segoe UI"/>
          <w:lang w:eastAsia="es-CO"/>
        </w:rPr>
        <w:lastRenderedPageBreak/>
        <w:t>harán el reconocimiento contable y la respectiva anotación en los estados financieros.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 dispuesto en el inciso anterior también aplicará a las entidades que al primero de abril de 1994 tuvieran la calidad de entidades del orden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Unidad Administrativa Especial de Gestión Pensional y Contribuciones Parafiscales de la Protección Social (UGPP), procederá en el mismo sentido en relación con las obligaciones por cuotas partes pensionales que haya reconocido a partir del momento en que asumió la función de reconocimiento pensional de entidades del orden nacional liquidadas o en liquidación, que sean financiadas con recursos del Fondo de Pensiones Públicas del Nivel Nacional (FOPEP).</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79.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Fuentes de financiación de servicios sociales complementarios</w:t>
      </w:r>
      <w:r w:rsidRPr="00BC5DA9">
        <w:rPr>
          <w:rFonts w:ascii="Century Gothic" w:eastAsia="Times New Roman" w:hAnsi="Century Gothic" w:cs="Segoe UI"/>
          <w:lang w:eastAsia="es-CO"/>
        </w:rPr>
        <w:t>. Los incentivos de que trata el artículo 87 de la Ley 1328 de 2009 se financiarán con recursos del Presupuesto General de la Nación.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prima de seguros que cubran los riesgos de la incapacidad y muerte del ahorrador vinculado a los Beneficios Económicos Periódicos (BEPS) serán financiados con recursos del Fondo de Riesgos Laborales. El Consejo Nacional de Riesgos Laborales destinará anualmente las partidas para para el efecto. La Comisión Intersectorial de Pensiones y Beneficios Económicos deberá definir el monto mínimo del Beneficio Económico Periódico teniendo en cuenta los gastos de administración.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Pago de pensiones de invalidez reconocidas por Positiva</w:t>
      </w:r>
      <w:r w:rsidRPr="00BC5DA9">
        <w:rPr>
          <w:rFonts w:ascii="Century Gothic" w:eastAsia="Times New Roman" w:hAnsi="Century Gothic" w:cs="Segoe UI"/>
          <w:lang w:eastAsia="es-CO"/>
        </w:rPr>
        <w:t>. Las pensiones que actualmente están a cargo de Positiva S. A., cuyos derechos fueron causados originalmente en el Instituto de Seguros Sociales, serán administradas por la UGPP y pagadas por el FOPEP, previo el traslado de la reserva actuarial correspondiente, de acuerdo con la reglamentación que expida el Gobierno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Atención Intersectorial para la discapacidad</w:t>
      </w:r>
      <w:r w:rsidRPr="00BC5DA9">
        <w:rPr>
          <w:rFonts w:ascii="Century Gothic" w:eastAsia="Times New Roman" w:hAnsi="Century Gothic" w:cs="Segoe UI"/>
          <w:lang w:eastAsia="es-CO"/>
        </w:rPr>
        <w:t>. El Gobierno Nacional conforme a los lineamientos de la política pública de discapacidad y las estrategias de implementación para ella contempladas en las bases del Plan Nacional de Desarrollo, diseñará e implementará una Ruta de Atención Intersectorial para personas con discapacidad. Para asegurar el acceso efectivo a la oferta programática en el nivel territorial se tomarán medidas de ajuste institucional, fortalecimiento de la capacidad instalada territorial, asistencia técnica a los gobiernos territoriales y mejoramiento de las condiciones de la gestión institucional, para lo cual el Departamento Administrativo de la Presidencia asumirá la coordinación y articulación de toda la oferta programática para discapacidad en los territorios a través de la Ruta de Atención Intersectorial para personas con discapacidad.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Para efectos de este artículo, el Ministerio de Salud y Protección Social implementará la Certificación de Discapacidad para la inclusión y </w:t>
      </w:r>
      <w:proofErr w:type="spellStart"/>
      <w:r w:rsidRPr="00BC5DA9">
        <w:rPr>
          <w:rFonts w:ascii="Century Gothic" w:eastAsia="Times New Roman" w:hAnsi="Century Gothic" w:cs="Segoe UI"/>
          <w:lang w:eastAsia="es-CO"/>
        </w:rPr>
        <w:lastRenderedPageBreak/>
        <w:t>redireccionamiento</w:t>
      </w:r>
      <w:proofErr w:type="spellEnd"/>
      <w:r w:rsidRPr="00BC5DA9">
        <w:rPr>
          <w:rFonts w:ascii="Century Gothic" w:eastAsia="Times New Roman" w:hAnsi="Century Gothic" w:cs="Segoe UI"/>
          <w:lang w:eastAsia="es-CO"/>
        </w:rPr>
        <w:t xml:space="preserve"> de la población con discapacidad a la oferta programática institucional.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Política de atención integral a la primera infancia, infancia y adolescencia. </w:t>
      </w:r>
      <w:r w:rsidRPr="00BC5DA9">
        <w:rPr>
          <w:rFonts w:ascii="Century Gothic" w:eastAsia="Times New Roman" w:hAnsi="Century Gothic" w:cs="Segoe UI"/>
          <w:lang w:eastAsia="es-CO"/>
        </w:rPr>
        <w:t>El Gobierno Nacional consolidará la implementación de la política de primera infancia y desarrollará una política nacional para la infancia y la adolescencia, en armonía con los avances técnicos y de gestión de la estrategia De Cero a Siempre, con énfasis en la población con amenaza o vulneración de derechos.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Dicha política desarrollará, en el marco del Sistema Nacional de Bienestar Familiar (SNBF), al menos los siguientes componentes: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Formulación e implementación de rutas integrales de atención que articulen y armonicen la oferta pública y privada, incluyendo las relacionadas con prevención del delito en adolescentes.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Formulación e implementación en el ámbito nacional de un plan operativo de la política que asegure la articulación de las diferentes políticas, planes y programas.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Articulación y aplicación de una estrategia de fortalecimiento y acompañamiento técnico para la articulación de los temas de infancia y adolescencia en municipios, distritos y departamentos.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Estructuración de un esquema de seguimiento y evaluación de la política, fortaleciendo el seguimiento de la garantía de derechos a través del Sistema Único de Información de la Niñez.</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Atención integral a la primera infancia en modalidad comunitaria y FAMI</w:t>
      </w:r>
      <w:r w:rsidRPr="00BC5DA9">
        <w:rPr>
          <w:rFonts w:ascii="Century Gothic" w:eastAsia="Times New Roman" w:hAnsi="Century Gothic" w:cs="Segoe UI"/>
          <w:lang w:eastAsia="es-CO"/>
        </w:rPr>
        <w:t>. El Gobierno Nacional reglamentará los mecanismos que permitan el fortalecimiento de las modalidades comunitarias y de Familia, Mujer e Infancia (FAMI), siguiendo los lineamientos de la estrategia de atención integral a la primera infancia.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ello se definirá una estrategia de mejoramiento locativo de los inmuebles donde funcionan servicios de atención a la primera infancia con el fin de ejecutar obras menores, reparaciones o adecuaciones que no requieran la obtención de permisos o licencias por parte de las autoridades competentes.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Tales obras comprenderán prioritariamente, la habilitación o instalación de batería de baños, lavaderos, cocinas, redes hidráulicas y sanitarias, pisos en superficies en tierra o en materiales inadecuados, ajustes razonables para garantizar la accesibilidad para personas en condición de discapacidad y otras condiciones que permitan el saneamiento y mejoramiento de dichos espacios, con el objeto de alcanzar progresivamente ambientes seguros y protectores para garantizar la atención integral de la población que compone la primera infancia.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Artículo 84.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Estrategia para la prevención del embarazo en la adolescencia</w:t>
      </w:r>
      <w:r w:rsidRPr="00BC5DA9">
        <w:rPr>
          <w:rFonts w:ascii="Century Gothic" w:eastAsia="Times New Roman" w:hAnsi="Century Gothic" w:cs="Segoe UI"/>
          <w:lang w:eastAsia="es-CO"/>
        </w:rPr>
        <w:t>. El Gobierno Nacional bajo la coordinación del Instituto Colombiano de Bienestar Familiar y del Ministerio de Salud y Protección Social, en el marco de la Comisión Nacional Intersectorial para la Promoción y Garantía de los Derechos Sexuales y Reproductivos, realizará asistencia técnica conjunta a los entes territoriales del país para que los alcaldes y gobernadores incluyan indicadores, políticas, programas y proyectos de derechos sexuales y reproductivos vinculados con la política de prevención del embarazo en la adolescencia en los respectivos planes de desarrollo.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Recursos de inversión social en cultura y deporte</w:t>
      </w:r>
      <w:r w:rsidRPr="00BC5DA9">
        <w:rPr>
          <w:rFonts w:ascii="Century Gothic" w:eastAsia="Times New Roman" w:hAnsi="Century Gothic" w:cs="Segoe UI"/>
          <w:lang w:eastAsia="es-CO"/>
        </w:rPr>
        <w:t xml:space="preserve">. Los recursos de que trata el </w:t>
      </w:r>
      <w:hyperlink r:id="rId6" w:tooltip="Estatuto Tributario CETA" w:history="1">
        <w:r w:rsidRPr="00BC5DA9">
          <w:rPr>
            <w:rFonts w:ascii="Century Gothic" w:eastAsia="Times New Roman" w:hAnsi="Century Gothic" w:cs="Segoe UI"/>
            <w:lang w:eastAsia="es-CO"/>
          </w:rPr>
          <w:t>artículo 512-2</w:t>
        </w:r>
      </w:hyperlink>
      <w:r w:rsidRPr="00BC5DA9">
        <w:rPr>
          <w:rFonts w:ascii="Century Gothic" w:eastAsia="Times New Roman" w:hAnsi="Century Gothic" w:cs="Segoe UI"/>
          <w:lang w:eastAsia="es-CO"/>
        </w:rPr>
        <w:t xml:space="preserve"> del Estatuto Tributario serán destinados a inversión social y se distribuirán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El diez por ciento (10%) para promover la creación, el fomento y el fortalecimiento de las bibliotecas que conforman la Red Nacional de Bibliotecas Públicas. Estos recursos serán presupuestados en el Ministerio de Cultura.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 El noventa por ciento (90%) para promover el fomento, promoción y desarrollo del Deporte y la Cultura, distribuido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Un setenta y cinco por ciento (75%) para el plan sectorial de fomento, promoción y desarrollo del deporte, y la recreación, escenarios deportivos incluidos los accesos en las zonas de influencia de los mismos, así como para la atención de los juegos deportivos nacionales y los juegos paralímpicos nacionales, los compromisos del ciclo olímpico y paralímpico que adquiera la Nación y la preparación y participación de los deportistas en todos los juegos mencionados y los del calendario único nacional. Estos recursos serán presupuestados en el Departamento Administrativo del Deporte, la Recreación, la Actividad Física y el Aprovechamiento del Tiempo Libre (</w:t>
      </w:r>
      <w:proofErr w:type="spellStart"/>
      <w:r w:rsidRPr="00BC5DA9">
        <w:rPr>
          <w:rFonts w:ascii="Century Gothic" w:eastAsia="Times New Roman" w:hAnsi="Century Gothic" w:cs="Segoe UI"/>
          <w:lang w:eastAsia="es-CO"/>
        </w:rPr>
        <w:t>Coldeportes</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b) Un doce coma cinco por ciento (12,5%) será girado al Distrito Capital y a los departamentos, para que mediante convenio con los municipios y/o distritos que presenten proyectos que sean debidamente viabilizados, se destine a programas de fomento y desarrollo deportivo e infraestructura, atendiendo los criterios del Sistema General de Participaciones, establecidos en la Ley 715 de 2001. Del total de estos recursos se deberán destinar mínimo un tres por ciento (3%) para el fomento, promoción, desarrollo del deporte y la recreación de deportistas con discapacidad. Estos recursos serán presupuestados en </w:t>
      </w:r>
      <w:proofErr w:type="spellStart"/>
      <w:r w:rsidRPr="00BC5DA9">
        <w:rPr>
          <w:rFonts w:ascii="Century Gothic" w:eastAsia="Times New Roman" w:hAnsi="Century Gothic" w:cs="Segoe UI"/>
          <w:lang w:eastAsia="es-CO"/>
        </w:rPr>
        <w:t>Coldeportes</w:t>
      </w:r>
      <w:proofErr w:type="spellEnd"/>
      <w:r w:rsidRPr="00BC5DA9">
        <w:rPr>
          <w:rFonts w:ascii="Century Gothic" w:eastAsia="Times New Roman" w:hAnsi="Century Gothic" w:cs="Segoe UI"/>
          <w:lang w:eastAsia="es-CO"/>
        </w:rPr>
        <w:t>, para su posterior distribución.</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 Un doce coma cinco por ciento (12,5%) será girado al Distrito Capital y a los Departamentos, para que mediante convenio con los municipios y/o distritos que presenten proyectos que sean debidamente viabilizados, se destine a programas de fomento, promoción y desarrollo de la Cultura y la actividad artística colombiana dándole aplicación a la Ley 1185 de 2008 y </w:t>
      </w:r>
      <w:r w:rsidRPr="00BC5DA9">
        <w:rPr>
          <w:rFonts w:ascii="Century Gothic" w:eastAsia="Times New Roman" w:hAnsi="Century Gothic" w:cs="Segoe UI"/>
          <w:lang w:eastAsia="es-CO"/>
        </w:rPr>
        <w:lastRenderedPageBreak/>
        <w:t>atendiendo los criterios del Sistema General de Participaciones, establecidos en la Ley 715 de 2001. Del total de estos recursos se deberán destinar mínimo un tres por ciento (3%) a programas culturales y artísticos de gestores y creadores culturales con discapacidad. Estos recursos serán presupuestados en el Ministerio de Cultura para su posterior distribución.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municipios y/o distritos cuyas actividades culturales y artísticas hayan sido declaradas como Patrimonio Cultural Inmaterial de la Humanidad por la Organización de Naciones Unidas para la Educación, la Ciencia y la Cultura, Unesco, tendrán derecho a que del porcentaje asignado se destine el cincuenta por ciento (50%) para la promoción y fomento de estas actividades.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El Ministerio de Hacienda y Crédito Público o la Dirección de Impuestos y Aduanas Nacionales deberán informar anualmente a las comisiones económicas del Congreso de la República el valor recaudado por este tributo y la destinación del mismo.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Los recursos girados para Cultura al Distrito Capital y a los departamentos, que no hayan sido ejecutados al 31 de diciembre de la vigencia siguiente a la cual fueron girados, serán reintegrados por el Distrito Capital y los departamentos a la Dirección General de Crédito Público y del Tesoro Nacional, junto con los rendimientos financieros generados, a más tardar el 30 de junio siguiente.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recursos reintegrados al Tesoro Nacional serán destinados a la ejecución de proyectos de inversión a cargo del Ministerio de Cultura relacionados con la apropiación social del patrimonio cultural.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rendimientos financieros originados por los recursos del impuesto nacional al consumo a la telefonía móvil girados al Distrito Capital y los departamentos para el fomento, promoción y desarrollo de la Cultura y el Deporte, deberán consignarse semestralmente a la Dirección General de Crédito Público y del Tesoro Nacional, en febrero y julio de cada año.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4°.</w:t>
      </w:r>
      <w:r w:rsidRPr="00BC5DA9">
        <w:rPr>
          <w:rFonts w:ascii="Century Gothic" w:eastAsia="Times New Roman" w:hAnsi="Century Gothic" w:cs="Segoe UI"/>
          <w:lang w:eastAsia="es-CO"/>
        </w:rPr>
        <w:t xml:space="preserve"> Cuando la entidad territorial no adelante el reintegro de recursos en los montos y plazos a que se refiere el presente artículo, el Ministerio de Cultura podrá descontarlos del giro que en las siguientes vigencias deba adelantar al Distrito Capital o al respectivo Departamento por el mismo concepto”.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Promoción de iniciativas juveniles</w:t>
      </w:r>
      <w:r w:rsidRPr="00BC5DA9">
        <w:rPr>
          <w:rFonts w:ascii="Century Gothic" w:eastAsia="Times New Roman" w:hAnsi="Century Gothic" w:cs="Segoe UI"/>
          <w:lang w:eastAsia="es-CO"/>
        </w:rPr>
        <w:t>. El Gobierno Nacional impulsará estrategias encaminadas a desarrollar las iniciativas sociales de los jóvenes. Para tal efecto, la Dirección del Sistema Nacional de Juventud, Colombia Joven, constituirá un banco de iniciativas encaminado al fortalecimiento de capital social, desarrollo humano y protección de los derechos humanos de esta población, así como de los proyectos productivos y de emprendimiento que motiven a los jóvenes beneficiarios a permanecer en la Colombia rural.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Artículo 87</w:t>
      </w:r>
      <w:r w:rsidRPr="00BC5DA9">
        <w:rPr>
          <w:rFonts w:ascii="Century Gothic" w:eastAsia="Times New Roman" w:hAnsi="Century Gothic" w:cs="Segoe UI"/>
          <w:lang w:eastAsia="es-CO"/>
        </w:rPr>
        <w:t>. E</w:t>
      </w:r>
      <w:r w:rsidRPr="00BC5DA9">
        <w:rPr>
          <w:rFonts w:ascii="Century Gothic" w:eastAsia="Times New Roman" w:hAnsi="Century Gothic" w:cs="Segoe UI"/>
          <w:i/>
          <w:iCs/>
          <w:lang w:eastAsia="es-CO"/>
        </w:rPr>
        <w:t>valuación de la gestión financiera, técnica y administrativa de los prestadores de servicios públicos</w:t>
      </w:r>
      <w:r w:rsidRPr="00BC5DA9">
        <w:rPr>
          <w:rFonts w:ascii="Century Gothic" w:eastAsia="Times New Roman" w:hAnsi="Century Gothic" w:cs="Segoe UI"/>
          <w:lang w:eastAsia="es-CO"/>
        </w:rPr>
        <w:t>. Modifíquese el numeral 11 del artículo 79 de la Ley 142 de 1994, modificado por el artículo 13 de la Ley 689 de 2001,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“11. Evaluar la gestión financiera, técnica y administrativa de los prestadores de servicios públicos sujetos a su control, inspección y vigilancia, de acuerdo con los indicadores definidos por las Comisiones de Regulación; publicar sus evaluaciones y proporcionar, en forma oportuna, toda la información disponible a quienes deseen hacer evaluaciones independientes. La Superintendencia podrá imponer programas de gestión para las empresas que amenacen de forma grave la prestación continua y eficiente de un servicio los cuales estarán basados en los indicadores de prestación y la información derivada de la vigilancia e inspección efectuadas a las mismas, cuyo incumplimiento podrá ser sancionado en los términos de esta ley. De igual manera podrá definir criterios diferenciales para adelantar el control, inspección y vigilancia a los prestadores de acueducto, alcantarillado y aseo en áreas rurales”.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Eficiencia en el manejo integral de residuos sólidos</w:t>
      </w:r>
      <w:r w:rsidRPr="00BC5DA9">
        <w:rPr>
          <w:rFonts w:ascii="Century Gothic" w:eastAsia="Times New Roman" w:hAnsi="Century Gothic" w:cs="Segoe UI"/>
          <w:lang w:eastAsia="es-CO"/>
        </w:rPr>
        <w:t>. Modifíquese el artículo 251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251. </w:t>
      </w:r>
      <w:r w:rsidRPr="00BC5DA9">
        <w:rPr>
          <w:rFonts w:ascii="Century Gothic" w:eastAsia="Times New Roman" w:hAnsi="Century Gothic" w:cs="Segoe UI"/>
          <w:b/>
          <w:bCs/>
          <w:i/>
          <w:iCs/>
          <w:lang w:eastAsia="es-CO"/>
        </w:rPr>
        <w:t xml:space="preserve">Eficiencia en el manejo integral de residuos sólidos. </w:t>
      </w:r>
      <w:r w:rsidRPr="00BC5DA9">
        <w:rPr>
          <w:rFonts w:ascii="Century Gothic" w:eastAsia="Times New Roman" w:hAnsi="Century Gothic" w:cs="Segoe UI"/>
          <w:lang w:eastAsia="es-CO"/>
        </w:rPr>
        <w:t>Las autoridades ambientales, personas prestadoras o entidades territoriales no podrán imponer restricciones sin justificación técnica al acceso a los rellenos sanitarios y/o estaciones de transferencia.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Créase un incentivo al aprovechamiento de residuos sólidos en aquellas entidades territoriales en cuyo Plan de Gestión Integral de Residuos Sólidos (PGIRS) se hayan definido proyectos de aprovechamiento viables. El valor por suscriptor de dicho incentivo, se calculará sobre las toneladas de residuos no aprovechables por suscriptor del servicio público de aseo, como un valor adicional al costo de disposición final de estos residuos. El Gobierno Nacional reglamentará la materia y su implementación podrá ser de forma gradual.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recursos provenientes del incentivo serán destinados a la actividad de aprovechamiento del servicio público de aseo para el desarrollo de infraestructura, separación en la fuente, recolección, transporte, recepción, pesaje, clasificación y otras formas de aprovechamiento; desarrolladas por los prestadores de la actividad de aprovechamiento y recicladores de oficio que se hayan organizado bajo la Ley 142 de 1994 para promover su formalización e inclusión social. Dichos recursos también se emplearán en la elaboración de estudios de pre-factibilidad y factibilidad que permitan la implementación de formas alternativas de aprovechamiento de residuos, tales como el compostaje, el aprovechamiento energético y las plantas de tratamiento integral de residuos sólidos, entre otros.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Consérvese el incentivo para los municipios donde se ubiquen rellenos sanitarios de carácter regional. El valor de dicho incentivo continuará siendo pagado por el prestador al municipio donde se ubique el relleno sanitario de la actividad de disposición final y su tarifa será entre 0,23% y 0,69% del salario mínimo mensual legal vigente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por tonelada dispuesta. En aquellos casos en que el relleno sanitario se encuentre ubicado o se llegare a ubicar en zonas limítrofes de varios municipios, el incentivo se distribuirá proporcionalmente entre los municipios, conforme al área afecta a la ejecución del proyecto.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Consérvese el incentivo para la ubicación de estaciones de transferencia de residuos sólidos para los municipios donde se ubiquen estas infraestructuras, siempre que sean de carácter regional. El valor de ese incentivo será pagado al municipio donde se ubique la estación de transferencia regional por parte del prestador de la actividad y su tarifa fluctuará entre 0,0125% y 0,023% del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xml:space="preserve"> por tonelada transferida, de conformidad con la reglamentación que para el efecto expida el Gobierno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anteriores incentivos deberán ser destinados a la financiación de proyectos de agua potable y saneamiento básico.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 Comisión de Regulación de Agua Potable y Saneamiento Básico definirá el mecanismo de inclusión del pago de los incentivos mencionados en el presente artículo, en la tarifa del usuario final del servicio de aseo; salvo aquellos usuarios ubicados en el municipio donde se encuentra el relleno sanitario y/o la estación de transferencia, para los incentivos relacionados con dicha infraestructura.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Igualmente, en la metodología tarifaria se establecerá un incentivo a los usuarios para promover la separación en la fuente de los residuos.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Ministerio de Vivienda Ciudad y Territorio reglamentará el esquema operativo de la actividad de aprovechamiento y la transitoriedad para el cumplimiento de las obligaciones que deben atender los recicladores de oficio, formalizados como personas prestadoras, de la actividad de aprovechamiento en el servicio público de aseo”.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89.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Sistemas de ciudades</w:t>
      </w:r>
      <w:r w:rsidRPr="00BC5DA9">
        <w:rPr>
          <w:rFonts w:ascii="Century Gothic" w:eastAsia="Times New Roman" w:hAnsi="Century Gothic" w:cs="Segoe UI"/>
          <w:lang w:eastAsia="es-CO"/>
        </w:rPr>
        <w:t>. Se adiciona el parágrafo segundo del artículo 111 de la Ley 388 de 1997,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“Parágrafo 2°. El Gobierno Nacional a través del Ministerio de Vivienda, Ciudad y Territorio, teniendo en cuenta el principio de autonomía territorial, también podrá tener la iniciativa para la formulación y ejecución de las actuaciones urbanas integrales de que tratan los artículos 113 y 114 de la Ley 388 de 1997, siempre que sean necesarias para la implementación de proyectos estratégicos de iniciativa de la Nación, que promuevan el desarrollo del Sistema de Ciudades y los corredores urbanos regionales.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Estas actuaciones deberán delimitarse y definirse en estudios técnicos que seguirán el procedimiento establecido en los artículos 24, 25 y 26 de la misma ley, y se constituirán en determinantes del ordenamiento territorial. El Gobierno Nacional reglamentará los lineamientos generales para la formulación de estas actuaciones estratégicas con la participación de las diferentes entidades nacionales, así como la coordinación público privada”.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Vivienda de interés social y vivienda de interés prioritario</w:t>
      </w:r>
      <w:r w:rsidRPr="00BC5DA9">
        <w:rPr>
          <w:rFonts w:ascii="Century Gothic" w:eastAsia="Times New Roman" w:hAnsi="Century Gothic" w:cs="Segoe UI"/>
          <w:lang w:eastAsia="es-CO"/>
        </w:rPr>
        <w:t xml:space="preserve">. De conformidad con el artículo 91 de la Ley 388 de 1997, la vivienda de interés social es la unidad habitacional que cumple con los estándares de calidad en diseño urbanístico, arquitectónico y de construcción y cuyo valor no exceda ciento treinta y cinco salarios mínimos mensuales legales vigentes (135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Se establecerá un tipo de vivienda denominada vivienda de interés social prioritario, cuyo valor máximo será de setenta salarios mínimos mensuales legales vigentes (70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Las entidades territoriales que financien vivienda en los municipios de categorías 3, 4, 5 y 6 de la Ley 617 de 2000, solo podrán hacerla en vivienda de interés prioritario.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En el caso de programas y/o proyectos de renovación urbana, el Gobierno Nacional podrá definir tipos de vivienda de interés social y de interés prioritario. La vivienda de interés social podrá tener un precio superior a los ciento treinta y cinco salarios mínimos mensuales legales vigentes (135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xml:space="preserve">), sin que este exceda los ciento setenta y cinco salarios mínimos mensuales legales vigentes (175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xml:space="preserve">). La vivienda de interés prioritario podrá tener un precio superior a los setenta salarios mínimos mensuales legales vigentes (70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xml:space="preserve">), sin que este exceda los cien salarios mínimos mensuales legales vigentes (100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recursos correspondientes a subsidios familiares de vivienda urbana que sean objeto de renuncia por parte de su beneficiario, que se venzan, o que correspondan a aquellos recuperados mediante actuaciones administrativas, deberán ser incorporados en el presupuesto del Fondo Nacional de Vivienda (</w:t>
      </w:r>
      <w:proofErr w:type="spellStart"/>
      <w:r w:rsidRPr="00BC5DA9">
        <w:rPr>
          <w:rFonts w:ascii="Century Gothic" w:eastAsia="Times New Roman" w:hAnsi="Century Gothic" w:cs="Segoe UI"/>
          <w:lang w:eastAsia="es-CO"/>
        </w:rPr>
        <w:t>Fonvivienda</w:t>
      </w:r>
      <w:proofErr w:type="spellEnd"/>
      <w:r w:rsidRPr="00BC5DA9">
        <w:rPr>
          <w:rFonts w:ascii="Century Gothic" w:eastAsia="Times New Roman" w:hAnsi="Century Gothic" w:cs="Segoe UI"/>
          <w:lang w:eastAsia="es-CO"/>
        </w:rPr>
        <w:t>), y serán destinados a la financiación o cofinanciación de programas o proyectos de vivienda de interés social, a la construcción y/o dotación de equipamientos públicos colectivos y/o a la infraestructura de servicios públicos domiciliarios. Lo anterior, independientemente de la vigencia presupuestal en la que hayan sido asignados los subsidios.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Los mencionados recursos podrán ser transferidos directamente, total o parcialmente, a cualquiera de los patrimonios autónomos en los que sea fideicomitente el </w:t>
      </w:r>
      <w:proofErr w:type="spellStart"/>
      <w:r w:rsidRPr="00BC5DA9">
        <w:rPr>
          <w:rFonts w:ascii="Century Gothic" w:eastAsia="Times New Roman" w:hAnsi="Century Gothic" w:cs="Segoe UI"/>
          <w:lang w:eastAsia="es-CO"/>
        </w:rPr>
        <w:t>Fonvivienda</w:t>
      </w:r>
      <w:proofErr w:type="spellEnd"/>
      <w:r w:rsidRPr="00BC5DA9">
        <w:rPr>
          <w:rFonts w:ascii="Century Gothic" w:eastAsia="Times New Roman" w:hAnsi="Century Gothic" w:cs="Segoe UI"/>
          <w:lang w:eastAsia="es-CO"/>
        </w:rPr>
        <w:t>, o la entidad que indique el Gobierno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Respecto de los subsidios familiares de vivienda urbana que se encuentren sin aplicar, </w:t>
      </w:r>
      <w:proofErr w:type="spellStart"/>
      <w:r w:rsidRPr="00BC5DA9">
        <w:rPr>
          <w:rFonts w:ascii="Century Gothic" w:eastAsia="Times New Roman" w:hAnsi="Century Gothic" w:cs="Segoe UI"/>
          <w:lang w:eastAsia="es-CO"/>
        </w:rPr>
        <w:t>Fonvivienda</w:t>
      </w:r>
      <w:proofErr w:type="spellEnd"/>
      <w:r w:rsidRPr="00BC5DA9">
        <w:rPr>
          <w:rFonts w:ascii="Century Gothic" w:eastAsia="Times New Roman" w:hAnsi="Century Gothic" w:cs="Segoe UI"/>
          <w:lang w:eastAsia="es-CO"/>
        </w:rPr>
        <w:t xml:space="preserve"> podrá proceder a su vencimiento sin que se requiera surtir previamente el proceso a que se refiere el parágrafo 1 ° del artículo 8° de la Ley 1537 de 2012.</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xml:space="preserve">En todo caso, los recursos del Presupuesto General de la Nación asignados a </w:t>
      </w:r>
      <w:proofErr w:type="spellStart"/>
      <w:r w:rsidRPr="00BC5DA9">
        <w:rPr>
          <w:rFonts w:ascii="Century Gothic" w:eastAsia="Times New Roman" w:hAnsi="Century Gothic" w:cs="Segoe UI"/>
          <w:lang w:eastAsia="es-CO"/>
        </w:rPr>
        <w:t>Fonvivienda</w:t>
      </w:r>
      <w:proofErr w:type="spellEnd"/>
      <w:r w:rsidRPr="00BC5DA9">
        <w:rPr>
          <w:rFonts w:ascii="Century Gothic" w:eastAsia="Times New Roman" w:hAnsi="Century Gothic" w:cs="Segoe UI"/>
          <w:lang w:eastAsia="es-CO"/>
        </w:rPr>
        <w:t xml:space="preserve"> y que se incorporen a patrimonios autónomos en los cuales dicha entidad sea Fideicomitente, independiente del rubro presupuestal de los referidos recursos, podrán ser destinados para la construcción y/o dotación de equipamientos públicos colectivo y/o infraestructura de servicios públicos domiciliarios, incluida la adquisición de predios para esos propósitos, para los proyectos de vivienda de interés social y prioritaria que se ejecuten en el marco de los patrimonios autónomos. La entidad aportante de los recursos definirá los porcentajes de los recursos aportados que pueden ser destinados a estos propósitos.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4°.</w:t>
      </w:r>
      <w:r w:rsidRPr="00BC5DA9">
        <w:rPr>
          <w:rFonts w:ascii="Century Gothic" w:eastAsia="Times New Roman" w:hAnsi="Century Gothic" w:cs="Segoe UI"/>
          <w:lang w:eastAsia="es-CO"/>
        </w:rPr>
        <w:t xml:space="preserve"> Cuando la entidad otorgante de subsidios familiares de vivienda 100% en especie (SFVE) advierta el acaecimiento de una causal para su restitución, de acuerdo con lo establecido en el artículo 21 de la Ley 1537 de 2012, estará facultada para iniciar ante las autoridades competentes y bajo los procedimientos determinados por la ley, procesos reivindicatorios de las viviendas, aun cuando no se ostente la calidad de propietario de las mismas.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Sin perjuicio de lo anterior, una vez surtido el proceso de restitución, por virtud de la ley e independientemente del negocio jurídico suscrito para que el hogar beneficiario se convirtiera en propietario de la vivienda, la entidad otorgante del SFVE o los fideicomisos en los cuales esta sea fideicomitente, podrán convertirse en titulares del derecho de dominio de las viviendas restituidas, para lo cual solo se requerirá la inscripción del acto administrativo correspondiente en el folio de matrícula inmobiliaria de la vivienda.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los eventos en los cuales la restitución del SFVE proceda por deudas adquiridas con los entes territoriales o las entidades del sector centralizado o descentralizado del orden territorial, la entidad otorgante del SFVE podrá disponer, mediante acto administrativo susceptible de registro, que la entidad acreedora se convierta en propietaria de las viviendas, con el propósito de que sean asignadas a hogares que se encuentren en las condiciones señaladas en el artículo 12 de la Ley 1537 de 2012, y que, sean identificados y seleccionados de conformidad con lo reglamentado por el Gobierno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viviendas adquiridas a título de SFVE, que hayan sido utilizadas como medio o instrumento para la ejecución de actividades ilícitas, podrán ser restituidas por parte de la entidad otorgante, para ser asignadas a otros hogares que se encuentren en las condiciones señaladas en el artículo 12 de la Ley 1537 de 2012, sin perjuicio de que se adelanten las investigaciones penales a que haya lugar.</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viviendas que sean objeto de restitución de acuerdo con lo establecido en el presente artículo, podrán ser transferidas a patrimonios autónomos constituidos por la entidad otorgante de los subsidios, hasta el momento en que sean transferidas a un nuevo hogar beneficiario.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Artículo 91.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Incorporación del suelo rural, suburbano y expansión urbana al perímetro urbano</w:t>
      </w:r>
      <w:r w:rsidRPr="00BC5DA9">
        <w:rPr>
          <w:rFonts w:ascii="Century Gothic" w:eastAsia="Times New Roman" w:hAnsi="Century Gothic" w:cs="Segoe UI"/>
          <w:lang w:eastAsia="es-CO"/>
        </w:rPr>
        <w:t>. Modifíquese el artículo 47 de la Ley 1537 de 2012,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lang w:eastAsia="es-CO"/>
        </w:rPr>
        <w:t>Artículo 47.</w:t>
      </w:r>
      <w:r w:rsidRPr="00BC5DA9">
        <w:rPr>
          <w:rFonts w:ascii="Century Gothic" w:eastAsia="Times New Roman" w:hAnsi="Century Gothic" w:cs="Segoe UI"/>
          <w:lang w:eastAsia="es-CO"/>
        </w:rPr>
        <w:t xml:space="preserve"> Incorporación del suelo rural, suburbano y expansión urbana al perímetro urbano. Con el fin de garantizar el desarrollo de vivienda, infraestructura social y usos complementarios y compatibles que soporten la vivienda, durante el período constitucional de las administraciones municipales y distritales comprendido entre los años 2015 y el 2020, y por una sola vez, los municipios y distritos podrán: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A iniciativa del alcalde municipal o distrital, incorporar al perímetro urbano los predios localizados en suelo rural, suelo suburbano y suelo de expansión urbana que garanticen el desarrollo y construcción de vivienda, infraestructura social y usos complementarios que soporten la vivienda de interés social y de interés prioritario, y otros, siempre que se permitan usos complementarios, mediante el ajuste del plan de ordenamiento territorial que será sometida a aprobación directa del concejo municipal o distrital, sin la realización previa de los trámites de concertación y consulta previstos en el artículo 24 de la Ley 388 de 1997. Esta acción se podrá adelantar siempre y cuando se cumplan en su totalidad las siguientes condiciones:</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Se trate de predios que cuenten con conexión o disponibilidad inmediata de servicios públicos domiciliarios de acueducto, alcantarillado y energía eléctrica y que tengan garantizada su conexión y articulación con los sistemas de movilidad existentes en el municipio o distrito, certificada por los prestadores correspondientes.</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Los predios así incorporados al perímetro urbano quedarán sometidos al régimen de desarrollo y construcción prioritaria de que trata el artículo 52 y subsiguientes de la Ley 388 de 1997. Para su ejecución se aplicarán las normas del tratamiento urbanístico de desarrollo y no se requerirá de plan parcial ni de otro instrumento de planificación complementaria para su habilitación. En el proyecto de acuerdo se incluirá la clasificación de usos y aprovechamiento del suelo.</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 Los predios no podrán colindar ni estar ubicados al interior de áreas de conservación y protección ambiental, tales como las áreas del sistema nacional de áreas protegidas, áreas de reserva forestal, áreas de manejo especial y áreas de especial importancia </w:t>
      </w:r>
      <w:proofErr w:type="spellStart"/>
      <w:r w:rsidRPr="00BC5DA9">
        <w:rPr>
          <w:rFonts w:ascii="Century Gothic" w:eastAsia="Times New Roman" w:hAnsi="Century Gothic" w:cs="Segoe UI"/>
          <w:lang w:eastAsia="es-CO"/>
        </w:rPr>
        <w:t>ecosistémica</w:t>
      </w:r>
      <w:proofErr w:type="spellEnd"/>
      <w:r w:rsidRPr="00BC5DA9">
        <w:rPr>
          <w:rFonts w:ascii="Century Gothic" w:eastAsia="Times New Roman" w:hAnsi="Century Gothic" w:cs="Segoe UI"/>
          <w:lang w:eastAsia="es-CO"/>
        </w:rPr>
        <w:t>, ni en áreas que hagan parte del suelo de protección, en los términos de que trata el artículo 35 de la Ley 388 de 1997, ni en otras áreas cuyo desarrollo se haya restringido en virtud de la concertación ambiental que fundamentó la adopción del plan de ordenamiento vigente.</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851"/>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d) Aquellos municipios cuyas cabeceras municipales y centros poblados rurales (corregimientos y veredas) que estén incluidos en una de las siete (7) reservas forestales creadas por la Ley 2ª de 1959, podrán presentar </w:t>
      </w:r>
      <w:r w:rsidRPr="00BC5DA9">
        <w:rPr>
          <w:rFonts w:ascii="Century Gothic" w:eastAsia="Times New Roman" w:hAnsi="Century Gothic" w:cs="Segoe UI"/>
          <w:lang w:eastAsia="es-CO"/>
        </w:rPr>
        <w:lastRenderedPageBreak/>
        <w:t>ante el Ministerio de Ambiente y Desarrollo Sostenible solicitud de sustracción rápida y expedita para los lotes y actuaciones urbanas integrales que se destinen a vivienda para lo cual se expedirá por parte de dicho Ministerio las resoluciones correspondientes.</w:t>
      </w:r>
    </w:p>
    <w:p w:rsidR="002732EB" w:rsidRPr="00BC5DA9" w:rsidRDefault="002732EB" w:rsidP="002732EB">
      <w:pPr>
        <w:tabs>
          <w:tab w:val="left" w:pos="567"/>
        </w:tabs>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tabs>
          <w:tab w:val="left" w:pos="567"/>
        </w:tabs>
        <w:adjustRightInd w:val="0"/>
        <w:spacing w:after="0" w:line="240" w:lineRule="auto"/>
        <w:ind w:left="567"/>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 Además de los instrumentos previstos en la ley, a iniciativa del alcalde municipal o distrital, se podrá modificar el régimen de usos y aprovechamiento del suelo de los predios localizados al interior del perímetro urbano o de expansión urbana que puedan ser destinados al desarrollo de proyectos de vivienda de interés prioritario, mediante el ajuste excepcional del Plan de Ordenamiento Territorial. Este ajuste se someterá a aprobación directa del concejo municipal o distrital, sin la realización previa de los trámites de concertación y consulta previstos en la Ley 388 de 1997, o mediante la expedición de decretos por parte de la autoridad municipal o distrital respectiva, cuando el Plan de Ordenamiento Territorial contemple la autorización para el efecto. Estos predios quedarán sometidos al régimen de desarrollo y construcción prioritaria, de que trata el artículo 52 y subsiguientes de la Ley 388 de 1997.</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Transcurridos sesenta (60) días desde la presentación del proyecto de ajuste del plan de ordenamiento territorial de que trata el presente artículo, sin que el concejo municipal o distrital adopte decisión alguna o lo niegue sin base en motivos y estudios técnicos debidamente sustentados, el alcalde podrá adoptarlo mediante decreto.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el evento de que el concejo municipal o distrital estuviere en receso, el alcalde deberá convocarlo a sesiones extraordinarias. Toda modificación propuesta por el concejo deberá sustentarse en motivos técnicos y contar con la aceptación del alcalde y, en ningún caso, su discusión ampliará el término para decidir.</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concejos municipales y distritales, de conformidad con lo establecido en el artículo 81 de la Ley 134 de 1994, celebrarán obligatoriamente un Cabildo Abierto previo para el estudio y análisis del proyecto de ajuste del plan de ordenamiento territorial.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Los predios incorporados al perímetro urbano en virtud de las disposiciones del presente artículo deberán cumplir los porcentajes de vivienda de interés social y de interés social prioritario de que trata el artículo 46 de la presente ley.</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proyectos de vivienda desarrollados bajo este artículo, no podrán cumplir la obligación de destinar suelo para vivienda de interés prioritario mediante el traslado de sus obligaciones a otro proyecto”.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Garantía de la nación para la financiación de proyectos de vivienda de interés social</w:t>
      </w:r>
      <w:r w:rsidRPr="00BC5DA9">
        <w:rPr>
          <w:rFonts w:ascii="Century Gothic" w:eastAsia="Times New Roman" w:hAnsi="Century Gothic" w:cs="Segoe UI"/>
          <w:lang w:eastAsia="es-CO"/>
        </w:rPr>
        <w:t>. Modifíquese el artículo 19 de la Ley 1537 de 2012,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19. </w:t>
      </w:r>
      <w:r w:rsidRPr="00BC5DA9">
        <w:rPr>
          <w:rFonts w:ascii="Century Gothic" w:eastAsia="Times New Roman" w:hAnsi="Century Gothic" w:cs="Segoe UI"/>
          <w:b/>
          <w:bCs/>
          <w:i/>
          <w:iCs/>
          <w:lang w:eastAsia="es-CO"/>
        </w:rPr>
        <w:t xml:space="preserve">Garantía de la nación para la financiación de proyectos de vivienda de interés social. </w:t>
      </w:r>
      <w:r w:rsidRPr="00BC5DA9">
        <w:rPr>
          <w:rFonts w:ascii="Century Gothic" w:eastAsia="Times New Roman" w:hAnsi="Century Gothic" w:cs="Segoe UI"/>
          <w:lang w:eastAsia="es-CO"/>
        </w:rPr>
        <w:t>Autorícese a la Nación - Ministerio de Hacienda y Crédito Público, para garantizar operaciones de crédito público interno o externo, operaciones asimiladas o conexas a estas, que celebre la Financiera de Desarrollo Territorial (</w:t>
      </w:r>
      <w:proofErr w:type="spellStart"/>
      <w:r w:rsidRPr="00BC5DA9">
        <w:rPr>
          <w:rFonts w:ascii="Century Gothic" w:eastAsia="Times New Roman" w:hAnsi="Century Gothic" w:cs="Segoe UI"/>
          <w:lang w:eastAsia="es-CO"/>
        </w:rPr>
        <w:t>Findeter</w:t>
      </w:r>
      <w:proofErr w:type="spellEnd"/>
      <w:r w:rsidRPr="00BC5DA9">
        <w:rPr>
          <w:rFonts w:ascii="Century Gothic" w:eastAsia="Times New Roman" w:hAnsi="Century Gothic" w:cs="Segoe UI"/>
          <w:lang w:eastAsia="es-CO"/>
        </w:rPr>
        <w:t>) para financiar los proyectos de vivienda de interés social y/o prioritario, en los términos de la normatividad vigente.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Para efectos de lo previsto en esta ley, </w:t>
      </w:r>
      <w:proofErr w:type="spellStart"/>
      <w:r w:rsidRPr="00BC5DA9">
        <w:rPr>
          <w:rFonts w:ascii="Century Gothic" w:eastAsia="Times New Roman" w:hAnsi="Century Gothic" w:cs="Segoe UI"/>
          <w:lang w:eastAsia="es-CO"/>
        </w:rPr>
        <w:t>Findeter</w:t>
      </w:r>
      <w:proofErr w:type="spellEnd"/>
      <w:r w:rsidRPr="00BC5DA9">
        <w:rPr>
          <w:rFonts w:ascii="Century Gothic" w:eastAsia="Times New Roman" w:hAnsi="Century Gothic" w:cs="Segoe UI"/>
          <w:lang w:eastAsia="es-CO"/>
        </w:rPr>
        <w:t xml:space="preserve"> podrá otorgar crédito a los patrimonios autónomos en los que </w:t>
      </w:r>
      <w:proofErr w:type="spellStart"/>
      <w:r w:rsidRPr="00BC5DA9">
        <w:rPr>
          <w:rFonts w:ascii="Century Gothic" w:eastAsia="Times New Roman" w:hAnsi="Century Gothic" w:cs="Segoe UI"/>
          <w:lang w:eastAsia="es-CO"/>
        </w:rPr>
        <w:t>Fonvivienda</w:t>
      </w:r>
      <w:proofErr w:type="spellEnd"/>
      <w:r w:rsidRPr="00BC5DA9">
        <w:rPr>
          <w:rFonts w:ascii="Century Gothic" w:eastAsia="Times New Roman" w:hAnsi="Century Gothic" w:cs="Segoe UI"/>
          <w:lang w:eastAsia="es-CO"/>
        </w:rPr>
        <w:t xml:space="preserve"> sea fideicomitente, y que se constituyan para la ejecución de proyectos de vivienda de interés social y/o prioritario”.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Juegos novedosos</w:t>
      </w:r>
      <w:r w:rsidRPr="00BC5DA9">
        <w:rPr>
          <w:rFonts w:ascii="Century Gothic" w:eastAsia="Times New Roman" w:hAnsi="Century Gothic" w:cs="Segoe UI"/>
          <w:lang w:eastAsia="es-CO"/>
        </w:rPr>
        <w:t>. Modifíquese el artículo 38 de la Ley 643 de 2001, modificado por el artículo 22 de la Ley 1393 de 2010, el cual quedará así:</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38. </w:t>
      </w:r>
      <w:r w:rsidRPr="00BC5DA9">
        <w:rPr>
          <w:rFonts w:ascii="Century Gothic" w:eastAsia="Times New Roman" w:hAnsi="Century Gothic" w:cs="Segoe UI"/>
          <w:b/>
          <w:bCs/>
          <w:i/>
          <w:iCs/>
          <w:lang w:eastAsia="es-CO"/>
        </w:rPr>
        <w:t xml:space="preserve">Juegos novedosos. </w:t>
      </w:r>
      <w:r w:rsidRPr="00BC5DA9">
        <w:rPr>
          <w:rFonts w:ascii="Century Gothic" w:eastAsia="Times New Roman" w:hAnsi="Century Gothic" w:cs="Segoe UI"/>
          <w:lang w:eastAsia="es-CO"/>
        </w:rPr>
        <w:t xml:space="preserve">Son cualquier otra modalidad de juegos de suerte y azar distintos de las loterías tradicionales o de billetes, de las apuestas permanentes y de los demás juegos a que se refiere la presente ley. Se consideran juegos novedosos, entre otros, la </w:t>
      </w:r>
      <w:proofErr w:type="spellStart"/>
      <w:r w:rsidRPr="00BC5DA9">
        <w:rPr>
          <w:rFonts w:ascii="Century Gothic" w:eastAsia="Times New Roman" w:hAnsi="Century Gothic" w:cs="Segoe UI"/>
          <w:lang w:eastAsia="es-CO"/>
        </w:rPr>
        <w:t>lotto</w:t>
      </w:r>
      <w:proofErr w:type="spellEnd"/>
      <w:r w:rsidRPr="00BC5DA9">
        <w:rPr>
          <w:rFonts w:ascii="Century Gothic" w:eastAsia="Times New Roman" w:hAnsi="Century Gothic" w:cs="Segoe UI"/>
          <w:lang w:eastAsia="es-CO"/>
        </w:rPr>
        <w:t xml:space="preserve"> </w:t>
      </w:r>
      <w:proofErr w:type="spellStart"/>
      <w:r w:rsidRPr="00BC5DA9">
        <w:rPr>
          <w:rFonts w:ascii="Century Gothic" w:eastAsia="Times New Roman" w:hAnsi="Century Gothic" w:cs="Segoe UI"/>
          <w:lang w:eastAsia="es-CO"/>
        </w:rPr>
        <w:t>preimpresa</w:t>
      </w:r>
      <w:proofErr w:type="spellEnd"/>
      <w:r w:rsidRPr="00BC5DA9">
        <w:rPr>
          <w:rFonts w:ascii="Century Gothic" w:eastAsia="Times New Roman" w:hAnsi="Century Gothic" w:cs="Segoe UI"/>
          <w:lang w:eastAsia="es-CO"/>
        </w:rPr>
        <w:t xml:space="preserve">, la lotería instantánea, el </w:t>
      </w:r>
      <w:proofErr w:type="spellStart"/>
      <w:r w:rsidRPr="00BC5DA9">
        <w:rPr>
          <w:rFonts w:ascii="Century Gothic" w:eastAsia="Times New Roman" w:hAnsi="Century Gothic" w:cs="Segoe UI"/>
          <w:lang w:eastAsia="es-CO"/>
        </w:rPr>
        <w:t>lotto</w:t>
      </w:r>
      <w:proofErr w:type="spellEnd"/>
      <w:r w:rsidRPr="00BC5DA9">
        <w:rPr>
          <w:rFonts w:ascii="Century Gothic" w:eastAsia="Times New Roman" w:hAnsi="Century Gothic" w:cs="Segoe UI"/>
          <w:lang w:eastAsia="es-CO"/>
        </w:rPr>
        <w:t xml:space="preserve"> en línea en cualquiera de sus modalidades, apuestas deportivas o en eventos y todos los juegos operados por internet, o por cualquier otra modalidad de tecnologías de la información que no requiera la presencia del apostador. Lo anterior únicamente en relación con los juegos que administra y/o explota </w:t>
      </w:r>
      <w:proofErr w:type="spellStart"/>
      <w:r w:rsidRPr="00BC5DA9">
        <w:rPr>
          <w:rFonts w:ascii="Century Gothic" w:eastAsia="Times New Roman" w:hAnsi="Century Gothic" w:cs="Segoe UI"/>
          <w:lang w:eastAsia="es-CO"/>
        </w:rPr>
        <w:t>Coljuegos</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derechos de explotación que deben transferir quienes operen juegos novedosos equivaldrán como mínimo al 17% de los ingresos brutos. Cuando se operen juegos novedosos en los cuales el retorno al jugador de acuerdo con el reglamento del juego sea igual o superior al 83% los derechos de explotación tendrán una tarifa mínima del 15% sobre los ingresos brutos menos los premios pagados. Sin perjuicio de lo anterior quienes operen juegos por internet, pagarán adicionalmente ochocientos once (811) salarios mínimos mensuales legales vigentes, que se cancelarán durante los veinte (20) primeros días hábiles de cada año de operación.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Se entiende que el juego opera por internet cuando la apuesta y el pago de premios se realizan únicamente por este medio, previo registro del jugador en el sitio o portal autorizado y cuya mecánica se soporta en un generador de número aleatorio virtual o en la ocurrencia de eventos reales cuyos resultados no son controlados. No se entienden operados por internet aquellos juegos que incluyan la realización de sorteos físicos, como el chance y loterías, entre otros, en cuyo caso el internet será un medio de comercialización. </w:t>
      </w:r>
      <w:proofErr w:type="spellStart"/>
      <w:r w:rsidRPr="00BC5DA9">
        <w:rPr>
          <w:rFonts w:ascii="Century Gothic" w:eastAsia="Times New Roman" w:hAnsi="Century Gothic" w:cs="Segoe UI"/>
          <w:lang w:eastAsia="es-CO"/>
        </w:rPr>
        <w:t>Coljuegos</w:t>
      </w:r>
      <w:proofErr w:type="spellEnd"/>
      <w:r w:rsidRPr="00BC5DA9">
        <w:rPr>
          <w:rFonts w:ascii="Century Gothic" w:eastAsia="Times New Roman" w:hAnsi="Century Gothic" w:cs="Segoe UI"/>
          <w:lang w:eastAsia="es-CO"/>
        </w:rPr>
        <w:t xml:space="preserve"> reglamentará los juegos de su competencia que operen y comercialicen por internet.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Podrán operar los juegos de suerte y azar por internet las personas jurídicas que suscriban el correspondiente contrato de concesión previa </w:t>
      </w:r>
      <w:r w:rsidRPr="00BC5DA9">
        <w:rPr>
          <w:rFonts w:ascii="Century Gothic" w:eastAsia="Times New Roman" w:hAnsi="Century Gothic" w:cs="Segoe UI"/>
          <w:lang w:eastAsia="es-CO"/>
        </w:rPr>
        <w:lastRenderedPageBreak/>
        <w:t xml:space="preserve">verificación del cumplimiento de los requisitos exigidos en el reglamento del juego y los demás definidos por </w:t>
      </w:r>
      <w:proofErr w:type="spellStart"/>
      <w:r w:rsidRPr="00BC5DA9">
        <w:rPr>
          <w:rFonts w:ascii="Century Gothic" w:eastAsia="Times New Roman" w:hAnsi="Century Gothic" w:cs="Segoe UI"/>
          <w:lang w:eastAsia="es-CO"/>
        </w:rPr>
        <w:t>Coljuegos</w:t>
      </w:r>
      <w:proofErr w:type="spellEnd"/>
      <w:r w:rsidRPr="00BC5DA9">
        <w:rPr>
          <w:rFonts w:ascii="Century Gothic" w:eastAsia="Times New Roman" w:hAnsi="Century Gothic" w:cs="Segoe UI"/>
          <w:lang w:eastAsia="es-CO"/>
        </w:rPr>
        <w:t>; la operación de los demás juegos novedosos deberá ser autorizado en cumplimiento de los procesos de selección establecidos en el Estatuto General de Contratación de la Administración Pública.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Los juegos novedosos diferentes a los operados por internet podrán utilizar este medio únicamente como canal de venta, previa autorización del administrador del monopolio quien determinará las condiciones y requisitos que se deben cumplir para tal fin.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administradores del monopolio, las autoridades de inspección, vigilancia y control, las autoridades de policía y la Policía Nacional podrán hacer monitoreo a los canales, entidades financieras, páginas de Internet y medios que de cualquier forma sirvan a la explotación, operación, venta, pago, publicidad o comercialización de juegos de suerte y azar no autorizados, y ordenar las alertas y bloqueos correspondientes”.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Definición de juegos de suerte y azar</w:t>
      </w:r>
      <w:r w:rsidRPr="00BC5DA9">
        <w:rPr>
          <w:rFonts w:ascii="Century Gothic" w:eastAsia="Times New Roman" w:hAnsi="Century Gothic" w:cs="Segoe UI"/>
          <w:lang w:eastAsia="es-CO"/>
        </w:rPr>
        <w:t>. Modifíquese el inciso 3° del artículo 5° de la Ley 643 de 2001,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“Están excluidos del ámbito de esta ley los juegos de suerte y azar de carácter tradicional, familiar y escolar, que no sean objeto de explotación lucrativa o con carácter profesional por quien lo opera, gestiona o administra, así como las competiciones de puro pasatiempo o recreo; también están excluidos los juegos promocionales que realicen los operadores de juegos de suerte y azar, las rifas para el financiamiento del cuerpo de bomberos, los juegos promocionales de las beneficencias departamentales y de las sociedades de capitalización que solo podrán ser realizados directamente por estas entidades. Se podrán utilizar como juegos promocionales los sorteos, bingos, apuestas deportivas, lotería instantánea y </w:t>
      </w:r>
      <w:proofErr w:type="spellStart"/>
      <w:r w:rsidRPr="00BC5DA9">
        <w:rPr>
          <w:rFonts w:ascii="Century Gothic" w:eastAsia="Times New Roman" w:hAnsi="Century Gothic" w:cs="Segoe UI"/>
          <w:lang w:eastAsia="es-CO"/>
        </w:rPr>
        <w:t>lotto</w:t>
      </w:r>
      <w:proofErr w:type="spellEnd"/>
      <w:r w:rsidRPr="00BC5DA9">
        <w:rPr>
          <w:rFonts w:ascii="Century Gothic" w:eastAsia="Times New Roman" w:hAnsi="Century Gothic" w:cs="Segoe UI"/>
          <w:lang w:eastAsia="es-CO"/>
        </w:rPr>
        <w:t xml:space="preserve"> </w:t>
      </w:r>
      <w:proofErr w:type="spellStart"/>
      <w:r w:rsidRPr="00BC5DA9">
        <w:rPr>
          <w:rFonts w:ascii="Century Gothic" w:eastAsia="Times New Roman" w:hAnsi="Century Gothic" w:cs="Segoe UI"/>
          <w:lang w:eastAsia="es-CO"/>
        </w:rPr>
        <w:t>preimpresa</w:t>
      </w:r>
      <w:proofErr w:type="spellEnd"/>
      <w:r w:rsidRPr="00BC5DA9">
        <w:rPr>
          <w:rFonts w:ascii="Century Gothic" w:eastAsia="Times New Roman" w:hAnsi="Century Gothic" w:cs="Segoe UI"/>
          <w:lang w:eastAsia="es-CO"/>
        </w:rPr>
        <w:t>, sus derechos de explotación se pagarán sobre el valor total del plan de premios y cada premio contenido en el plan no podrá superar ciento sesenta (160) salarios mínimos mensuales legales vigentes”.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Financiación de proyectos de las IES</w:t>
      </w:r>
      <w:r w:rsidRPr="00BC5DA9">
        <w:rPr>
          <w:rFonts w:ascii="Century Gothic" w:eastAsia="Times New Roman" w:hAnsi="Century Gothic" w:cs="Segoe UI"/>
          <w:lang w:eastAsia="es-CO"/>
        </w:rPr>
        <w:t xml:space="preserve">. 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ejercerá la función de financiar o cofinanciar programas y proyectos específicos que contribuyan al desarrollo científico, académico y administrativo de las instituciones de educación superior de que trata el artículo 16 de la Ley 30 de 1992; al fortalecimiento de su infraestructura física, y a la renovación y adquisición de equipos y dotaciones. El Gobierno Nacional reglamentará la materia.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aportes de la nación que a la fecha de entrada en vigencia de la presente ley se encuentren en el Fondo de Desarrollo de la Educación Superior (</w:t>
      </w:r>
      <w:proofErr w:type="spellStart"/>
      <w:r w:rsidRPr="00BC5DA9">
        <w:rPr>
          <w:rFonts w:ascii="Century Gothic" w:eastAsia="Times New Roman" w:hAnsi="Century Gothic" w:cs="Segoe UI"/>
          <w:lang w:eastAsia="es-CO"/>
        </w:rPr>
        <w:t>Fodesep</w:t>
      </w:r>
      <w:proofErr w:type="spellEnd"/>
      <w:r w:rsidRPr="00BC5DA9">
        <w:rPr>
          <w:rFonts w:ascii="Century Gothic" w:eastAsia="Times New Roman" w:hAnsi="Century Gothic" w:cs="Segoe UI"/>
          <w:lang w:eastAsia="es-CO"/>
        </w:rPr>
        <w:t xml:space="preserve">) y que no se encuentren comprometidos presupuestalmente, serán transferidos al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para el ejercicio de las funciones asignadas en este artículo, para lo cual el Gobierno nacional adelantará las acciones conducentes a obtener la liquidación </w:t>
      </w:r>
      <w:r w:rsidRPr="00BC5DA9">
        <w:rPr>
          <w:rFonts w:ascii="Century Gothic" w:eastAsia="Times New Roman" w:hAnsi="Century Gothic" w:cs="Segoe UI"/>
          <w:lang w:eastAsia="es-CO"/>
        </w:rPr>
        <w:lastRenderedPageBreak/>
        <w:t>de dicha participación. El Gobierno nacional podrá enajenar o disponer de su participación.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Daciones en pago</w:t>
      </w:r>
      <w:r w:rsidRPr="00BC5DA9">
        <w:rPr>
          <w:rFonts w:ascii="Century Gothic" w:eastAsia="Times New Roman" w:hAnsi="Century Gothic" w:cs="Segoe UI"/>
          <w:lang w:eastAsia="es-CO"/>
        </w:rPr>
        <w:t>. El Gobierno nacional definirá los mecanismos que permitan a las entidades administradoras de cada uno de los subsistemas del Sistema de Seguridad Social defender de manera activa y eficiente los créditos a favor del Estado y de los afiliados en los eventos de concurso de acreedores, optimizando los recursos del Sistema y buscando que se realicen actuaciones conjuntas. Así mismo, el Gobierno definirá los instrumentos que permitan liquidar los activos recibidos a título de dación en pago en el menor tiempo y al mejor valor posible. Sin perjuicio de lo anterior, el valor efectivamente recibido de la liquidación de los activos será el que se impute a favor del afiliado.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Las daciones en pago recibidas por el Instituto de Seguros Sociales que amparaban deudas de sus diferentes negocios, se destinarán en su totalidad a la financiación de las obligaciones pensionales. La imputación de las semanas a los afiliados la realizará </w:t>
      </w:r>
      <w:proofErr w:type="spellStart"/>
      <w:r w:rsidRPr="00BC5DA9">
        <w:rPr>
          <w:rFonts w:ascii="Century Gothic" w:eastAsia="Times New Roman" w:hAnsi="Century Gothic" w:cs="Segoe UI"/>
          <w:lang w:eastAsia="es-CO"/>
        </w:rPr>
        <w:t>Colpensiones</w:t>
      </w:r>
      <w:proofErr w:type="spellEnd"/>
      <w:r w:rsidRPr="00BC5DA9">
        <w:rPr>
          <w:rFonts w:ascii="Century Gothic" w:eastAsia="Times New Roman" w:hAnsi="Century Gothic" w:cs="Segoe UI"/>
          <w:lang w:eastAsia="es-CO"/>
        </w:rPr>
        <w:t xml:space="preserve"> por el monto de la deuda pensional definido en el concurso de acreedores, esto es el valor al que se recibió cada uno de los activos.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Saneamiento y cumplimiento de condiciones financieras de las entidades promotoras de salud en que participen las Cajas de Compensación Familiar. </w:t>
      </w:r>
      <w:r w:rsidRPr="00BC5DA9">
        <w:rPr>
          <w:rFonts w:ascii="Century Gothic" w:eastAsia="Times New Roman" w:hAnsi="Century Gothic" w:cs="Segoe UI"/>
          <w:lang w:eastAsia="es-CO"/>
        </w:rPr>
        <w:t>Con el propósito de garantizar el acceso y goce efectivo del derecho a la salud y cumplir las condiciones financieras para la operación y el saneamiento de las Entidades Promotoras de Salud en que participen las Cajas de Compensación Familiar o los programas de salud que administren o hayan operado en dichas entidades, se podrán destinar recursos propios de las Cajas de Compensación Familiar y los recursos a que hace referencia el artículo 46 de la Ley 1438 de 2011 recaudados en las vigencias 2012, 2013 y 2014 que no hayan sido utilizados en los propósitos definidos en la mencionada ley a la fecha de entrada en vigencia de la presente disposición, siempre que no correspondan a la financiación del régimen subsidiado de salud. Subsidiariamente, los recursos de la contribución parafiscal recaudados por las Cajas de Compensación Familiar no requeridos para financiar programas obligatorios podrán destinarse para estos propósitos.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Protección social para trabajadores independientes con ingresos inferiores al salario mínimo</w:t>
      </w:r>
      <w:r w:rsidRPr="00BC5DA9">
        <w:rPr>
          <w:rFonts w:ascii="Century Gothic" w:eastAsia="Times New Roman" w:hAnsi="Century Gothic" w:cs="Segoe UI"/>
          <w:lang w:eastAsia="es-CO"/>
        </w:rPr>
        <w:t xml:space="preserve">. El Gobierno nacional diseñará un esquema financiero y operativo que posibilite la vinculación de trabajadores independientes con ingresos inferiores al salario mínimo mensual legal vigente al Sistema General de Seguridad Social Integral. En materia de salud, el trabajador podrá afiliarse o permanecer en el régimen subsidiado, siempre y cuando cumpla las condiciones para pertenecer a este. Si desea acceder a prestaciones económicas del régimen contributivo, podrá cotizar de acuerdo con su capacidad de pago, caso en el cual se le reconocerán dichas prestaciones en proporción a su aporte. Para la protección a la vejez, accederá a los beneficios económicos periódicos y para riesgos de incapacidad y muerte a un esquema de </w:t>
      </w:r>
      <w:proofErr w:type="spellStart"/>
      <w:r w:rsidRPr="00BC5DA9">
        <w:rPr>
          <w:rFonts w:ascii="Century Gothic" w:eastAsia="Times New Roman" w:hAnsi="Century Gothic" w:cs="Segoe UI"/>
          <w:lang w:eastAsia="es-CO"/>
        </w:rPr>
        <w:t>microseguros</w:t>
      </w:r>
      <w:proofErr w:type="spellEnd"/>
      <w:r w:rsidRPr="00BC5DA9">
        <w:rPr>
          <w:rFonts w:ascii="Century Gothic" w:eastAsia="Times New Roman" w:hAnsi="Century Gothic" w:cs="Segoe UI"/>
          <w:lang w:eastAsia="es-CO"/>
        </w:rPr>
        <w:t>, velando en todos los casos por el equilibrio financiero del sistema.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99.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Cumplimiento del reglamento del sector de agua potable y saneamiento básico para vivienda rural</w:t>
      </w:r>
      <w:r w:rsidRPr="00BC5DA9">
        <w:rPr>
          <w:rFonts w:ascii="Century Gothic" w:eastAsia="Times New Roman" w:hAnsi="Century Gothic" w:cs="Segoe UI"/>
          <w:lang w:eastAsia="es-CO"/>
        </w:rPr>
        <w:t>. Modifíquese el parágrafo 2° del artículo 29 de la Ley 1537 de 2012, el cual quedará así:</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“Parágrafo 2°. Para las viviendas dispersas localizadas en áreas rurales con soluciones individuales de saneamiento básico para la gestión de sus aguas residuales domésticas definidos, tales como sistemas sépticos y que cumplan desde su diseño con los parámetros definidos en el reglamento técnico del sector de agua potable y saneamiento básico, no requerirán de la obtención del permiso de vertimientos.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 dispuesto en el presente parágrafo, también aplicará para los proyectos que desarrolle el Fondo de Adaptación, en el ejercicio de sus competencias”.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lang w:eastAsia="es-CO"/>
        </w:rPr>
        <w:t>CAPÍTULO III</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bCs/>
          <w:lang w:eastAsia="es-CO"/>
        </w:rPr>
        <w:t>Transformación del campo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Mecanismos de intervención integral en territorios rurales</w:t>
      </w:r>
      <w:r w:rsidRPr="00BC5DA9">
        <w:rPr>
          <w:rFonts w:ascii="Century Gothic" w:eastAsia="Times New Roman" w:hAnsi="Century Gothic" w:cs="Segoe UI"/>
          <w:lang w:eastAsia="es-CO"/>
        </w:rPr>
        <w:t>. El Gobierno nacional establecerá los Mecanismos de Intervención Integral en Territorios Rurales y las zonas en las cuales estos serán implementados. Dichos mecanismos contendrán los lineamientos, criterios, parámetros, temporalidad y financiación para la ejecución de los planes operativos y de inversión, los cuales serán construidos de manera participativa en coordinación con las autoridades departamentales y municipales, que deberán contener como mínimo intervenciones en los siguientes aspectos: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Ordenamiento social y productivo de las tierras rurales.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Adecuación de tierras e infraestructura de riego.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Habitabilidad rural.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Infraestructura productiva y de comercialización.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Proyectos productivos, planes de negocio y asistencia técnica integral.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entidades que por sus funciones desarrollen labores en los territorios rurales y con la población rural, articularán sus intervenciones priorizando sus inversiones en las zonas de intervención integral.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Subsidio integral de reforma agraria</w:t>
      </w:r>
      <w:r w:rsidRPr="00BC5DA9">
        <w:rPr>
          <w:rFonts w:ascii="Century Gothic" w:eastAsia="Times New Roman" w:hAnsi="Century Gothic" w:cs="Segoe UI"/>
          <w:lang w:eastAsia="es-CO"/>
        </w:rPr>
        <w:t>. Modifíquese el artículo 20 de la Ley 160 de 1994,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20. </w:t>
      </w:r>
      <w:r w:rsidRPr="00BC5DA9">
        <w:rPr>
          <w:rFonts w:ascii="Century Gothic" w:eastAsia="Times New Roman" w:hAnsi="Century Gothic" w:cs="Segoe UI"/>
          <w:b/>
          <w:bCs/>
          <w:i/>
          <w:iCs/>
          <w:lang w:eastAsia="es-CO"/>
        </w:rPr>
        <w:t xml:space="preserve">Subsidio integral de reforma agraria. </w:t>
      </w:r>
      <w:r w:rsidRPr="00BC5DA9">
        <w:rPr>
          <w:rFonts w:ascii="Century Gothic" w:eastAsia="Times New Roman" w:hAnsi="Century Gothic" w:cs="Segoe UI"/>
          <w:lang w:eastAsia="es-CO"/>
        </w:rPr>
        <w:t xml:space="preserve">Establézcase un Subsidio Integral de Reforma Agraria, con cargo al presupuesto del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xml:space="preserve"> o la entidad que haga sus veces, que podrá cubrir hasta el cien por ciento (100%) del valor de la tierra y/o de los requerimientos financieros para el establecimiento del </w:t>
      </w:r>
      <w:r w:rsidRPr="00BC5DA9">
        <w:rPr>
          <w:rFonts w:ascii="Century Gothic" w:eastAsia="Times New Roman" w:hAnsi="Century Gothic" w:cs="Segoe UI"/>
          <w:lang w:eastAsia="es-CO"/>
        </w:rPr>
        <w:lastRenderedPageBreak/>
        <w:t>proyecto productivo agropecuario, según las condiciones socioeconómicas de los beneficiarios.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Este subsidio será equivalente al valor de la Unidad Agrícola Familiar (UAF) y será otorgado por una sola vez a familias campesinas de escasos recursos, con arreglo a las políticas y a los criterios de planificación, focalización, priorización, exigibilidad y calificación que, para el efecto, determine el Gobierno nacional a través del Ministerio de Agricultura y Desarrollo Rural. Quienes hayan sido beneficiarios del subsidio exclusivamente para la compra de tierras, podrán ser objeto del presente subsidio únicamente por el monto destinado a cubrir los requerimientos financieros para el establecimiento del proyecto productivo agropecuario.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subsidio será asignado de manera focalizada a través de procedimientos de libre concurrencia en las zonas del país seleccionadas en el marco de intervenciones integrales para promover el desarrollo rural, conforme a la reglamentación que para el efecto expida el Gobierno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Cuando no existan zonas rurales con intervenciones integrales para promover el desarrollo rural, o existiendo no sea viable la asignación del subsidio al interior de ellas, el Ministerio de Agricultura y Desarrollo Rural podrá focalizar su asignación en otras zonas conforme a la reglamentación que expida el Consejo Directivo del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Los recursos destinados para el subsidio integral se priorizarán para la atención de las solicitudes pendientes que resultaron viables en la vigencia anterior.</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Parágrafo 1°. En el pago del Subsidio Integral para el acceso a la tierra y apoyo productivo en la conformación de Empresas Básicas Agropecuarias, así como el implícito en la adquisición directa de tierras, el Gobierno nacional podrá emplear cualquier modalidad de pago contra recursos del presupuesto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Parágrafo 2°. Las entidades territoriales, las organizaciones campesinas, las entidades sin ánimo de lucro, las asociaciones mutuales, los cabildos indígenas, los consejos consultivos de las comunidades negras, las autoridades del pueblo </w:t>
      </w:r>
      <w:proofErr w:type="spellStart"/>
      <w:r w:rsidRPr="00BC5DA9">
        <w:rPr>
          <w:rFonts w:ascii="Century Gothic" w:eastAsia="Times New Roman" w:hAnsi="Century Gothic" w:cs="Segoe UI"/>
          <w:lang w:eastAsia="es-CO"/>
        </w:rPr>
        <w:t>rom</w:t>
      </w:r>
      <w:proofErr w:type="spellEnd"/>
      <w:r w:rsidRPr="00BC5DA9">
        <w:rPr>
          <w:rFonts w:ascii="Century Gothic" w:eastAsia="Times New Roman" w:hAnsi="Century Gothic" w:cs="Segoe UI"/>
          <w:lang w:eastAsia="es-CO"/>
        </w:rPr>
        <w:t>, los gremios agropecuarios y demás organismos que sean autorizados por el reglamento, podrán presentar solicitudes de subsidio a nombre de los beneficiarios.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Parágrafo 3°. En el procedimiento para el otorgamiento del subsidio se realizará un levantamiento topográfico como insumo para la determinación del avalúo comercial. Mientras se implementa la política de catastro rural con enfoque multipropósito, si se evidencia una diferencia de áreas al comparar el folio de matrícula inmobiliaria y el plano topográfico del predio a adquirir, antes de elaborar dicho avalúo, el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xml:space="preserve"> advertirá tal situación al potencial vendedor y al adjudicatario del subsidio.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xml:space="preserve">En el evento en que las partes manifiesten su interés de continuar con la negociación a pesar de lo advertido, el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xml:space="preserve"> autorizará continuar con el procedimiento siempre y cuando exista manifestación expresa, inequívoca y escrita del propietario, solo en los casos en que el área del predio consignada en el folio de matrícula inmobiliaria sea inferior de la establecida por el levantamiento topográfico.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estos casos, el avalúo comercial a elaborar tendrá como área del predio, la establecida en el folio de matrícula inmobiliaria.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Parágrafo 4°. El levantamiento topográfico que se realice para efectos de la aplicación del subsidio de reforma agraria y demás asuntos propios de la gestión institucional en materia de tierras podrá ser realizado directamente por el Instituto Geográfico Agustín Codazzi (IGAC) o contratado con personas naturales o jurídicas legalmente habilitadas para ello”.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Marco especial sobre administración de tierras de la nación. </w:t>
      </w:r>
      <w:r w:rsidRPr="00BC5DA9">
        <w:rPr>
          <w:rFonts w:ascii="Century Gothic" w:eastAsia="Times New Roman" w:hAnsi="Century Gothic" w:cs="Segoe UI"/>
          <w:lang w:eastAsia="es-CO"/>
        </w:rPr>
        <w:t>Modifíquese el artículo 76 de la Ley 160 de 1994,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76. </w:t>
      </w:r>
      <w:r w:rsidRPr="00BC5DA9">
        <w:rPr>
          <w:rFonts w:ascii="Century Gothic" w:eastAsia="Times New Roman" w:hAnsi="Century Gothic" w:cs="Segoe UI"/>
          <w:lang w:eastAsia="es-CO"/>
        </w:rPr>
        <w:t xml:space="preserve">Sin perjuicio de lo previsto en el artículo 83 de la presente ley, podrá también el </w:t>
      </w:r>
      <w:proofErr w:type="spellStart"/>
      <w:r w:rsidRPr="00BC5DA9">
        <w:rPr>
          <w:rFonts w:ascii="Century Gothic" w:eastAsia="Times New Roman" w:hAnsi="Century Gothic" w:cs="Segoe UI"/>
          <w:lang w:eastAsia="es-CO"/>
        </w:rPr>
        <w:t>Incoder</w:t>
      </w:r>
      <w:proofErr w:type="spellEnd"/>
      <w:r w:rsidRPr="00BC5DA9">
        <w:rPr>
          <w:rFonts w:ascii="Century Gothic" w:eastAsia="Times New Roman" w:hAnsi="Century Gothic" w:cs="Segoe UI"/>
          <w:lang w:eastAsia="es-CO"/>
        </w:rPr>
        <w:t xml:space="preserve"> o la entidad que haga sus veces, constituir reservas sobre tierras baldías, o que llegaren a tener ese carácter, para establecer en ellas un régimen especial de ocupación, aprovechamiento y adjudicación, reglamentado por el Gobierno nacional, que permita al adjudicatario contar con la tierra como activo para iniciar actividades de generación de ingresos. Las explotaciones que se adelanten sobre las tierras reservadas con posterioridad a la fecha en que adquieran esta calidad, no darán derecho al interesado para obtener la adjudicación de la superficie correspondiente sino cuando se hayan realizado de conformidad con dichos reglamentos.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 reglamentación que expida el Gobierno nacional en desarrollo del régimen a que hace alusión el presente artículo, dispondrá que las tierras sean entregadas exclusivamente a trabajadores agrarios de escasos recursos, de forma individual o asociativa.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régimen especial de ocupación, aprovechamiento y adjudicación también será aplicado sobre las tierras baldías que adquieran la condición de </w:t>
      </w:r>
      <w:proofErr w:type="spellStart"/>
      <w:r w:rsidRPr="00BC5DA9">
        <w:rPr>
          <w:rFonts w:ascii="Century Gothic" w:eastAsia="Times New Roman" w:hAnsi="Century Gothic" w:cs="Segoe UI"/>
          <w:lang w:eastAsia="es-CO"/>
        </w:rPr>
        <w:t>adjudicables</w:t>
      </w:r>
      <w:proofErr w:type="spellEnd"/>
      <w:r w:rsidRPr="00BC5DA9">
        <w:rPr>
          <w:rFonts w:ascii="Century Gothic" w:eastAsia="Times New Roman" w:hAnsi="Century Gothic" w:cs="Segoe UI"/>
          <w:lang w:eastAsia="es-CO"/>
        </w:rPr>
        <w:t xml:space="preserve"> como consecuencia de la sustracción de zonas de reserva forestal de Ley 2ª de 1959, siempre y cuando tengan vocación agrícola y/o forestal de producción”.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Formalización de la propiedad rural</w:t>
      </w:r>
      <w:r w:rsidRPr="00BC5DA9">
        <w:rPr>
          <w:rFonts w:ascii="Century Gothic" w:eastAsia="Times New Roman" w:hAnsi="Century Gothic" w:cs="Segoe UI"/>
          <w:lang w:eastAsia="es-CO"/>
        </w:rPr>
        <w:t xml:space="preserve">. Sin perjuicio de las disposiciones propias para la titulación de baldíos o regularización de bienes fiscales, el Ministerio de Agricultura y Desarrollo Rural o la entidad ejecutora que este determine, gestionará y financiará de forma progresiva la formalización de tierras de naturaleza privada, para otorgar títulos de propiedad legalmente registrados a los trabajadores agrarios y pobladores rurales de escasos recursos que tengan la calidad de poseedores. Esta posesión debe respetar las exigencias legales de la </w:t>
      </w:r>
      <w:r w:rsidRPr="00BC5DA9">
        <w:rPr>
          <w:rFonts w:ascii="Century Gothic" w:eastAsia="Times New Roman" w:hAnsi="Century Gothic" w:cs="Segoe UI"/>
          <w:lang w:eastAsia="es-CO"/>
        </w:rPr>
        <w:lastRenderedPageBreak/>
        <w:t>prescripción adquisitiva de dominio, sucesión, saneamiento de que trata la Ley 1561 de 2012 o ratificación notarial de negocios jurídicos, según sea el caso.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Catastro multipropósito</w:t>
      </w:r>
      <w:r w:rsidRPr="00BC5DA9">
        <w:rPr>
          <w:rFonts w:ascii="Century Gothic" w:eastAsia="Times New Roman" w:hAnsi="Century Gothic" w:cs="Segoe UI"/>
          <w:lang w:eastAsia="es-CO"/>
        </w:rPr>
        <w:t>. Se promoverá la implementación del catastro nacional con enfoque multipropósito, entendido como aquel que dispone información predial para contribuir a la seguridad jurídica del derecho de propiedad inmueble, al fortalecimiento de los fiscos locales, al ordenamiento territorial y la planeación social y económica.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a través del Instituto Geográfico Agustín Codazzi (IGAC) con el apoyo de los catastros descentralizados, podrá realizar las actividades necesarias para la formación y actualización catastral de manera gradual e integral, con fines adicionales a los fiscales señalados en la Ley 14 de 1983, logrando plena coherencia entre el catastro y el registro, mediante levantamientos por barrido y predial masivo, en los municipios y/o zonas priorizadas con el Departamento Administrativo Nacional de Estadística, el Departamento Nacional de Planeación, el Ministerio de Agricultura y Desarrollo Rural y el Ministerio de Ambiente y Desarrollo Sostenible, conforme con la metodología definida para el efecto.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El Gobierno nacional reglamentará la implementación de un Sistema Nacional de Gestión de Tierras (SNGT), cuya base la constituirá la información del catastro multipropósito, del registro público de la propiedad y del ordenamiento territorial.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Rectificación administrativa de área y linderos</w:t>
      </w:r>
      <w:r w:rsidRPr="00BC5DA9">
        <w:rPr>
          <w:rFonts w:ascii="Century Gothic" w:eastAsia="Times New Roman" w:hAnsi="Century Gothic" w:cs="Segoe UI"/>
          <w:lang w:eastAsia="es-CO"/>
        </w:rPr>
        <w:t>. Modifíquese el parágrafo del artículo 65 de la Ley 1579 de 2012,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Parágrafo</w:t>
      </w:r>
      <w:r w:rsidRPr="00BC5DA9">
        <w:rPr>
          <w:rFonts w:ascii="Century Gothic" w:eastAsia="Times New Roman" w:hAnsi="Century Gothic" w:cs="Segoe UI"/>
          <w:lang w:eastAsia="es-CO"/>
        </w:rPr>
        <w:t xml:space="preserve">. Cuando las autoridades catastrales competentes, en desarrollo de la formación y/o actualización catastral rural y urbana bajo la metodología de intervención por barrido predial masivo con enfoque multipropósito, adviertan diferencias en los linderos y/o área de los predios entre la información levantada en terreno y la que reposa en sus bases de datos y/o registro público de la propiedad, procederán a rectificar dicha información siempre y cuando los titulares del derecho de dominio del predio y sus colindantes manifiesten pleno acuerdo respecto de los resultados de la corrección y esta no afecte derechos de terceros o colinde con bienes imprescriptibles o propiedad de entidades de derecho público, bienes de uso público, bienes fiscales, bienes fiscales </w:t>
      </w:r>
      <w:proofErr w:type="spellStart"/>
      <w:r w:rsidRPr="00BC5DA9">
        <w:rPr>
          <w:rFonts w:ascii="Century Gothic" w:eastAsia="Times New Roman" w:hAnsi="Century Gothic" w:cs="Segoe UI"/>
          <w:lang w:eastAsia="es-CO"/>
        </w:rPr>
        <w:t>adjudicables</w:t>
      </w:r>
      <w:proofErr w:type="spellEnd"/>
      <w:r w:rsidRPr="00BC5DA9">
        <w:rPr>
          <w:rFonts w:ascii="Century Gothic" w:eastAsia="Times New Roman" w:hAnsi="Century Gothic" w:cs="Segoe UI"/>
          <w:lang w:eastAsia="es-CO"/>
        </w:rPr>
        <w:t xml:space="preserve"> o baldíos o cuya posesión, ocupación o transferencia estén prohibidas o restringidas por normas constitucionales o legales.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esos casos, no existiendo conflicto entre los titulares y una vez verificado por la correspondiente autoridad catastral que lo convenido por ellos se ajusta a la realidad física encontrada en terreno, el Registrador de Instrumentos Públicos rectificará conforme a ello la información de cabida y linderos de los inmuebles que repose en sus folios de matrícula inmobiliaria, sin que para ello se requiera de orden judicial.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El procedimiento para la corrección administrativa de linderos y área por acuerdo escrito entre las partes, así como los eventos en los que no sea aceptada, será objeto de reglamento por parte del Gobierno nacional”.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Administración y recaudo de las contribuciones parafiscales agropecuarias y pesqueras</w:t>
      </w:r>
      <w:r w:rsidRPr="00BC5DA9">
        <w:rPr>
          <w:rFonts w:ascii="Century Gothic" w:eastAsia="Times New Roman" w:hAnsi="Century Gothic" w:cs="Segoe UI"/>
          <w:lang w:eastAsia="es-CO"/>
        </w:rPr>
        <w:t>. La administración de todas las contribuciones parafiscales agropecuarias y pesqueras se realizará directamente por las entidades gremiales que reúnan condiciones de representatividad nacional de una actividad agropecuaria o pesquera determinada y hayan celebrado un contrato especial con el Gobierno nacional, sujeto a los términos y procedimientos de la ley que haya creado las contribuciones respectivas.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colectividades beneficiarias de contribuciones parafiscales agropecuarias y pesqueras también podrán administrar estos recursos a través de sociedades fiduciarias, previo contrato especial con el Gobierno nacional. Este procedimiento también se aplicará en casos de declaratoria de caducidad del respectivo contrato de administración.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Si la entidad administradora no está en condiciones de garantizar el cumplimiento de las reglas y políticas que debe regir la ejecución de las contribuciones parafiscales, el Ministerio de Agricultura y Desarrollo Rural, por razones especiales definidas mediante reglamento, podrá asumir temporalmente, a través de un encargo fiduciario, la administración de dichas contribuciones y efectuar el recaudo.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fiducia será contratada de conformidad con las normas de contratación estatal.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Mientras se surte el procedimiento de contratación de la fiducia, el Ministerio de Agricultura y Desarrollo Rural podrá realizar directamente el encargo fiduciario por término no mayor a 6 meses. En todo caso los rendimientos financieros de dicho encargo fiduciario no podrán ser inferiores al promedio de mercado.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 anterior igualmente procederá en caso de incumplimiento de las cláusulas del contrato especial de administración.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Las entidades administradoras de los Fondos provenientes de contribuciones parafiscales agropecuarias y pesqueras podrán demandar por vía ejecutiva ante la jurisdicción ordinaria el pago de las mismas. Para este efecto, el representante legal de cada entidad expedirá, de acuerdo con la información que le suministre el Ministerio de Hacienda y Crédito Público, el certificado en el cual conste el monto de la deuda y su exigibilidad.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contribuyente o recaudador de la contribución parafiscal que no la pague o transfiera oportunamente a la entidad administradora, cancelará intereses de mora a la tasa señalada para el impuesto de renta y complementarios.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Parágrafo 3°.</w:t>
      </w:r>
      <w:r w:rsidRPr="00BC5DA9">
        <w:rPr>
          <w:rFonts w:ascii="Century Gothic" w:eastAsia="Times New Roman" w:hAnsi="Century Gothic" w:cs="Segoe UI"/>
          <w:lang w:eastAsia="es-CO"/>
        </w:rPr>
        <w:t xml:space="preserve"> Los miembros de las juntas directivas de los fondos que manejen recursos parafiscales, distintos a aquellos que representen a entidades públicas, deberán ser elegidos por medios democráticos que garanticen la participación de los gravados con la cuota parafiscal respectiva.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Facultades extraordinarias para el desarrollo rural y agropecuario</w:t>
      </w:r>
      <w:r w:rsidRPr="00BC5DA9">
        <w:rPr>
          <w:rFonts w:ascii="Century Gothic" w:eastAsia="Times New Roman" w:hAnsi="Century Gothic" w:cs="Segoe UI"/>
          <w:lang w:eastAsia="es-CO"/>
        </w:rPr>
        <w:t>. De conformidad con lo establecido en el artículo 150, numeral 10, de la Constitución Política revístase al Presidente de la República de precisas facultades extraordinarias hasta por un término de seis (6) meses, contados a partir de la fecha de publicación de la presente ley, para: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Crear una entidad u organismo perteneciente a la rama ejecutiva del orden nacional del sector descentralizado, fijando su objeto y estructura orgánica, responsable de la administración de las tierras como recurso para el desarrollo rural, de la política de acceso a tierras y la gestión de la seguridad jurídica para consolidar y proteger los derechos de propiedad en el campo.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Crear una entidad u organismo perteneciente a la rama ejecutiva del orden nacional del sector descentralizado, fijando su objeto y estructura orgánica responsable de gestionar, promover y financiar el desarrollo rural y agropecuario con el fin de acercar al territorio la presencia institucional del orden nacional para la transformación del campo y adelantar programas con impacto regional.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Reasignar funciones y competencias entre las entidades y organismos del sector Administrativo Agropecuario, Pesquero y de Desarrollo Rural y entre estas y otras entidades y organismos del Estado.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Crear las entidades u organismos que se requieran para desarrollar los objetivos que cumplían las entidades u organismos que se supriman, escindan, fusionen o transformen del sector Administrativo Agropecuario, Pesquero y de Desarrollo Rural.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Crear, reasignar, modificar y distribuir competencias, funciones u objetivos a la Comisión Nacional de Crédito Agropecuario y al Fondo de Financiamiento del Sector Agropecuario (</w:t>
      </w:r>
      <w:proofErr w:type="spellStart"/>
      <w:r w:rsidRPr="00BC5DA9">
        <w:rPr>
          <w:rFonts w:ascii="Century Gothic" w:eastAsia="Times New Roman" w:hAnsi="Century Gothic" w:cs="Segoe UI"/>
          <w:lang w:eastAsia="es-CO"/>
        </w:rPr>
        <w:t>Finagro</w:t>
      </w:r>
      <w:proofErr w:type="spellEnd"/>
      <w:r w:rsidRPr="00BC5DA9">
        <w:rPr>
          <w:rFonts w:ascii="Century Gothic" w:eastAsia="Times New Roman" w:hAnsi="Century Gothic" w:cs="Segoe UI"/>
          <w:lang w:eastAsia="es-CO"/>
        </w:rPr>
        <w:t xml:space="preserve">) para diseñar e implementar políticas de financiamiento, de gestión de riegos agropecuarios y </w:t>
      </w:r>
      <w:proofErr w:type="spellStart"/>
      <w:r w:rsidRPr="00BC5DA9">
        <w:rPr>
          <w:rFonts w:ascii="Century Gothic" w:eastAsia="Times New Roman" w:hAnsi="Century Gothic" w:cs="Segoe UI"/>
          <w:lang w:eastAsia="es-CO"/>
        </w:rPr>
        <w:t>microfinanzas</w:t>
      </w:r>
      <w:proofErr w:type="spellEnd"/>
      <w:r w:rsidRPr="00BC5DA9">
        <w:rPr>
          <w:rFonts w:ascii="Century Gothic" w:eastAsia="Times New Roman" w:hAnsi="Century Gothic" w:cs="Segoe UI"/>
          <w:lang w:eastAsia="es-CO"/>
        </w:rPr>
        <w:t xml:space="preserve"> rurales, respetando en todo caso el esquema de inversión forzosa.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f) Ampliar las fuentes de financiación del fondo de </w:t>
      </w:r>
      <w:proofErr w:type="spellStart"/>
      <w:r w:rsidRPr="00BC5DA9">
        <w:rPr>
          <w:rFonts w:ascii="Century Gothic" w:eastAsia="Times New Roman" w:hAnsi="Century Gothic" w:cs="Segoe UI"/>
          <w:lang w:eastAsia="es-CO"/>
        </w:rPr>
        <w:t>microfinanzas</w:t>
      </w:r>
      <w:proofErr w:type="spellEnd"/>
      <w:r w:rsidRPr="00BC5DA9">
        <w:rPr>
          <w:rFonts w:ascii="Century Gothic" w:eastAsia="Times New Roman" w:hAnsi="Century Gothic" w:cs="Segoe UI"/>
          <w:lang w:eastAsia="es-CO"/>
        </w:rPr>
        <w:t xml:space="preserve"> rurales creado en la Ley 1731 de 2014.</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g) Realizar las modificaciones presupuestales necesarias para apropiar los gastos de funcionamiento e inversión para el cumplimiento de las funciones que se asignen a las entidades creadas, escindidas, suprimidas, fusionadas o reestructuradas en desarrollo de las facultades otorgadas por la presente ley.</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h) Crear una Dirección de Mujer Rural que se encargará de desarrollar la Política Pública Integral de Mujer Rural.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De conformidad con el artículo 62 de la Ley 5ª de 1992, créase una comisión especial integrada por dos (2) Representantes y dos (2) Senadores de cada una de las Comisiones Primeras, Terceras, Cuartas y Quintas Constitucionales del Congreso de la República pertenecientes a cada uno de los partidos o movimientos políticos y una Congresista integrante de la Comisión Legal para la Equidad de la Mujer, la cual estará encargada de ejercer control político con el fin de realizar el seguimiento a las facultades conferidas.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el ejercicio de sus funciones, la comisión podrá solicitar informes, presentar peticiones, recomendaciones que tengan por objeto el desarrollo rural integral y la transformación productiva del campo. Tales funciones se ejercerán durante el término de vigencia de las facultades extraordinarias.</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lang w:eastAsia="es-CO"/>
        </w:rPr>
        <w:t>CAPÍTULO IV</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bCs/>
          <w:lang w:eastAsia="es-CO"/>
        </w:rPr>
        <w:t>Seguridad, justicia y democracia para la construcción de la paz</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Plan decenal del sistema de justicia</w:t>
      </w:r>
      <w:r w:rsidRPr="00BC5DA9">
        <w:rPr>
          <w:rFonts w:ascii="Century Gothic" w:eastAsia="Times New Roman" w:hAnsi="Century Gothic" w:cs="Segoe UI"/>
          <w:lang w:eastAsia="es-CO"/>
        </w:rPr>
        <w:t>. Con el objeto de promover la coordinación, eficiencia, eficacia y modernización en la administración de justicia y en las funciones de los organismos de control, el Ministerio de Justicia y del Derecho, el Departamento Nacional de Planeación, el Consejo Superior de la Judicatura, la Fiscalía General de la Nación, el Instituto Nacional de Medicina Legal y Ciencias Forenses, la Contraloría General de la República, la Procuraduría General de la Nación y la Defensoría del Pueblo o quienes hagan sus veces, concurrirán para la elaboración del Plan decenal del sistema de justicia, que deberá formularse dentro de los dos años siguientes a la publicación de la presente ley y con participación de las entidades territoriales, las autoridades administrativas, los particulares que ejercen funciones jurisdiccionales, los centros de conciliación y arbitraje y los operadores de justicia comunitaria. La secretaría técnica para la elaboración y seguimiento del Plan decenal estará a cargo del Ministerio de Justicia y del Derecho, el cual presentará informes anuales al Congreso de la República sobre los avances del Plan Decenal del Sistema de Justicia.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plan decenal contendrá, cuando menos, los objetivos del sistema de justicia, el plan de acción interinstitucional para lograrlos, las metas institucionales e interinstitucionales, la definición de herramientas tecnológicas para la justicia, los compromisos específicos de cada prestador de servicios de justicia, las prioridades y criterios territoriales, los objetivos comunes en materia de bienestar social e incentivos, capacitación y seguridad para los empleados del sistema de justicia y la definición del mecanismo de seguimiento.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Las entidades señaladas en el presente artículo formularán el plan decenal de justicia, teniendo en cuenta los insumos y estudios técnicos pertinentes. Las entidades y organismos del Gobierno nacional, las universidades y los centros de </w:t>
      </w:r>
      <w:r w:rsidRPr="00BC5DA9">
        <w:rPr>
          <w:rFonts w:ascii="Century Gothic" w:eastAsia="Times New Roman" w:hAnsi="Century Gothic" w:cs="Segoe UI"/>
          <w:lang w:eastAsia="es-CO"/>
        </w:rPr>
        <w:lastRenderedPageBreak/>
        <w:t xml:space="preserve">investigación, las organizaciones de trabajadores y usuarios del sector </w:t>
      </w:r>
      <w:proofErr w:type="gramStart"/>
      <w:r w:rsidRPr="00BC5DA9">
        <w:rPr>
          <w:rFonts w:ascii="Century Gothic" w:eastAsia="Times New Roman" w:hAnsi="Century Gothic" w:cs="Segoe UI"/>
          <w:lang w:eastAsia="es-CO"/>
        </w:rPr>
        <w:t>justicia</w:t>
      </w:r>
      <w:proofErr w:type="gramEnd"/>
      <w:r w:rsidRPr="00BC5DA9">
        <w:rPr>
          <w:rFonts w:ascii="Century Gothic" w:eastAsia="Times New Roman" w:hAnsi="Century Gothic" w:cs="Segoe UI"/>
          <w:lang w:eastAsia="es-CO"/>
        </w:rPr>
        <w:t>, podrán formular recomendaciones.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109.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Administración y destinación de bienes objeto de extinción de dominio</w:t>
      </w:r>
      <w:r w:rsidRPr="00BC5DA9">
        <w:rPr>
          <w:rFonts w:ascii="Century Gothic" w:eastAsia="Times New Roman" w:hAnsi="Century Gothic" w:cs="Segoe UI"/>
          <w:lang w:eastAsia="es-CO"/>
        </w:rPr>
        <w:t>. Adiciónese el inciso quinto al artículo 91 de la Ley 1708 de 2014,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bienes, los rendimientos y los frutos que generen los bienes localizados en el departamento Archipiélago de San Andrés, Providencia y Santa Catalina, cuya extinción de dominio se haya decretado conforme a la presente ley deberán destinarse prioritariamente a programas sociales que beneficien a la población raizal”.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Programa de Reintegración Social y Económica</w:t>
      </w:r>
      <w:r w:rsidRPr="00BC5DA9">
        <w:rPr>
          <w:rFonts w:ascii="Century Gothic" w:eastAsia="Times New Roman" w:hAnsi="Century Gothic" w:cs="Segoe UI"/>
          <w:lang w:eastAsia="es-CO"/>
        </w:rPr>
        <w:t>. Los recursos apropiados en el rubro de transferencias corrientes Fondo de Programas Especiales para la PAZ - Programa de Reintegración Social y Económica, dentro del objeto de gasto de funcionamiento de la Agencia Colombiana para la Reintegración de Personas y Grupos Alzados en Armas (ACR), se ejecutarán con sujeción al régimen dispuesto en la Ley 434 de 1998 o la norma que lo modifique o adicione, en circunstancias de necesidad debidamente sustentadas por la ACR, relativas a procesos de desmovilización colectiva o incrementos de las desmovilizaciones individuales, en todo caso con plena observancia de los principios orientadores del Estatuto General de la Contratación Pública.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Protocolización Consultas Previas</w:t>
      </w:r>
      <w:r w:rsidRPr="00BC5DA9">
        <w:rPr>
          <w:rFonts w:ascii="Century Gothic" w:eastAsia="Times New Roman" w:hAnsi="Century Gothic" w:cs="Segoe UI"/>
          <w:lang w:eastAsia="es-CO"/>
        </w:rPr>
        <w:t>. Harán parte integral de este Plan Nacional de Desarrollo, los acuerdos de la “Protocolización de la Consulta Previa al Plan Nacional de Desarrollo 2014-2018 con Grupos Étnicos”.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Decenio Internacional de los Afrodescendientes</w:t>
      </w:r>
      <w:r w:rsidRPr="00BC5DA9">
        <w:rPr>
          <w:rFonts w:ascii="Century Gothic" w:eastAsia="Times New Roman" w:hAnsi="Century Gothic" w:cs="Segoe UI"/>
          <w:lang w:eastAsia="es-CO"/>
        </w:rPr>
        <w:t>. El Ministerio del Interior elaborará el plan intersectorial de acción del Decenio Internacional de los Afrodescendientes en el marco de la Resolución número 68/237, adoptada por la Organización de las Naciones Unidas. En la elaboración del plan se consultarán instancias de carácter técnico, tales como instituciones académicas, gremiales y sociales. El plan se orientará a garantizar el reconocimiento, la justicia y el desarrollo de las poblaciones afrocolombiana y contendrá medidas tendientes a garantizar la igualdad de oportunidades de dicha población.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el desarrollo de los programas, proyectos y acciones en beneficio de la población afrodescendiente el Gobierno nacional establecerá indicadores diferenciales y metas que permitan medir la inclusión social en diversos sectores relacionados con políticas sociales.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Derechos constitucionales de los indígenas</w:t>
      </w:r>
      <w:r w:rsidRPr="00BC5DA9">
        <w:rPr>
          <w:rFonts w:ascii="Century Gothic" w:eastAsia="Times New Roman" w:hAnsi="Century Gothic" w:cs="Segoe UI"/>
          <w:lang w:eastAsia="es-CO"/>
        </w:rPr>
        <w:t>. En lo concerniente a los pueblos indígenas, el Plan Nacional de Desarrollo 2014-2018 y las acciones que de este se deriven, se orientan a garantizar los derechos constitucionales, la pervivencia y permanencia física y cultural de los Pueblos Indígenas de Colombia, su bienestar, el reconocimiento de la vocación de protección ambiental de sus territorios y el goce efectivo de sus derechos colectivos y fundamentales.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Artículo 114.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Identificación de asignaciones presupuestales a Pueblos Indígenas</w:t>
      </w:r>
      <w:r w:rsidRPr="00BC5DA9">
        <w:rPr>
          <w:rFonts w:ascii="Century Gothic" w:eastAsia="Times New Roman" w:hAnsi="Century Gothic" w:cs="Segoe UI"/>
          <w:lang w:eastAsia="es-CO"/>
        </w:rPr>
        <w:t>. Las entidades estatales del orden nacional, conforme a sus competencias, podrán identificar las asignaciones presupuestales específicas para los Pueblos Indígenas y presentarán al Departamento Nacional de Planeación la información desagregada.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Elaboración de presupuestos</w:t>
      </w:r>
      <w:r w:rsidRPr="00BC5DA9">
        <w:rPr>
          <w:rFonts w:ascii="Century Gothic" w:eastAsia="Times New Roman" w:hAnsi="Century Gothic" w:cs="Segoe UI"/>
          <w:lang w:eastAsia="es-CO"/>
        </w:rPr>
        <w:t>. Durante cada vigencia fiscal, como parte de la elaboración de los anteproyectos de presupuesto de cada sección presupuestal, se señalarán de manera específica las partidas presupuestales destinadas a cumplir los acuerdos con los Pueblos Indígenas establecidos en el Plan Nacional de Desarrollo.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Antes del envío de los anteproyectos al Ministerio de Hacienda y Crédito Público, se convocará a la Mesa Permanente de Concertación, con el objeto de analizar y revisar la correspondencia con lo establecido en el Plan Nacional de Desarrollo.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Seguimiento de políticas para los Pueblos Indígenas</w:t>
      </w:r>
      <w:r w:rsidRPr="00BC5DA9">
        <w:rPr>
          <w:rFonts w:ascii="Century Gothic" w:eastAsia="Times New Roman" w:hAnsi="Century Gothic" w:cs="Segoe UI"/>
          <w:lang w:eastAsia="es-CO"/>
        </w:rPr>
        <w:t>. Las estrategias y metas acordadas con los Pueblos Indígenas serán objeto de especial seguimiento. El Departamento Nacional de Planeación incluirá en el Sistema Nacional de Gestión y Resultados (Sinergia), un componente especial para Pueblos Indígenas, mediante el diseño y definición concertada de un tablero de control con indicadores culturalmente adecuados.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El Gobierno nacional, a través de la Mesa Permanente de Concertación, pondrá a disposición de los Pueblos Indígenas el acceso a información suficiente y oportuna para que pueda realizar el ejercicio propio de seguimiento y evaluación.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Gobierno nacional presentará cada año, en el mes de abril, un informe consolidado de la implementación de acciones y ejecución de los recursos presupuestales para Pueblos Indígenas. En este informe debe ser clara la identificación de acciones y de la población indígena beneficiada.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El Gobierno nacional seguirá impulsando la construcción y puesta en funcionamiento de los pueblos indígenas culturales del cordón ambiental y tradicional de la Sierra Nevada de Santa Marta, así como la conservación del territorio ancestral </w:t>
      </w:r>
      <w:proofErr w:type="spellStart"/>
      <w:r w:rsidRPr="00BC5DA9">
        <w:rPr>
          <w:rFonts w:ascii="Century Gothic" w:eastAsia="Times New Roman" w:hAnsi="Century Gothic" w:cs="Segoe UI"/>
          <w:lang w:eastAsia="es-CO"/>
        </w:rPr>
        <w:t>Arhuaco</w:t>
      </w:r>
      <w:proofErr w:type="spellEnd"/>
      <w:r w:rsidRPr="00BC5DA9">
        <w:rPr>
          <w:rFonts w:ascii="Century Gothic" w:eastAsia="Times New Roman" w:hAnsi="Century Gothic" w:cs="Segoe UI"/>
          <w:lang w:eastAsia="es-CO"/>
        </w:rPr>
        <w:t xml:space="preserve"> a través de la implementación del “Programa Guardabosques Corazón del Mundo”.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Política pública para la protección de derechos de las familias, mujeres, niñas y niños jóvenes y mayores indígenas</w:t>
      </w:r>
      <w:r w:rsidRPr="00BC5DA9">
        <w:rPr>
          <w:rFonts w:ascii="Century Gothic" w:eastAsia="Times New Roman" w:hAnsi="Century Gothic" w:cs="Segoe UI"/>
          <w:lang w:eastAsia="es-CO"/>
        </w:rPr>
        <w:t>. El Gobierno nacional adoptará, previa consulta y concertación, una política pública nacional integral diferencial para Pueblos Indígenas que garantice la protección de los derechos humanos de las familias, mujeres, niñas y niños, jóvenes y mayores indígenas.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Criterios de salida de la ruta de Reparación Administrativa</w:t>
      </w:r>
      <w:r w:rsidRPr="00BC5DA9">
        <w:rPr>
          <w:rFonts w:ascii="Century Gothic" w:eastAsia="Times New Roman" w:hAnsi="Century Gothic" w:cs="Segoe UI"/>
          <w:lang w:eastAsia="es-CO"/>
        </w:rPr>
        <w:t xml:space="preserve">. Con el fin de establecer los criterios de salida de la ruta de reparación administrativa de las víctimas en sus dimensiones individual y colectiva, la Unidad Administrativa </w:t>
      </w:r>
      <w:r w:rsidRPr="00BC5DA9">
        <w:rPr>
          <w:rFonts w:ascii="Century Gothic" w:eastAsia="Times New Roman" w:hAnsi="Century Gothic" w:cs="Segoe UI"/>
          <w:lang w:eastAsia="es-CO"/>
        </w:rPr>
        <w:lastRenderedPageBreak/>
        <w:t>Especial de Atención y Reparación a Víctimas, el Departamento para la Prosperidad Social y el Departamento Nacional de Planeación, definirán una metodología para determinar el momento en el cual una persona se encuentra reparada por el daño por el cual fue reconocido como víctima del conflicto armado.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este efecto, el Gobierno nacional reglamentará las acciones y condiciones con las cuales se entiende que el Estado ha garantizado la reparación administrativa de las víctimas individuales y colectivas.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119.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Exenciones de pago de derechos notariales y registrales</w:t>
      </w:r>
      <w:r w:rsidRPr="00BC5DA9">
        <w:rPr>
          <w:rFonts w:ascii="Century Gothic" w:eastAsia="Times New Roman" w:hAnsi="Century Gothic" w:cs="Segoe UI"/>
          <w:lang w:eastAsia="es-CO"/>
        </w:rPr>
        <w:t>. No se causarán derechos notariales ni registrales para ninguna de las partes independientemente de su naturaleza jurídica, en los negocios jurídicos que se describen a continuación, cuando las viviendas objeto de los mismos hayan sido desarrolladas con la financiación o cofinanciación de subsidios familiares de vivienda otorgados por las entidades facultadas por la ley para el efecto: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Constitución de propiedad horizontal, cuando todos los bienes de dominio particular que conformen el edificio o conjunto sean viviendas de interés prioritario.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Adquisición de viviendas de interés prioritario nuevas, incluido el leasing habitacional de vivienda de interés prioritario nueva, cuando se ejerza la opción de compra.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Adquisición de viviendas de interés prioritario usadas, incluido el leasing habitacional de vivienda de interés prioritario usada, cuando se ejerza la opción de compra, en los eventos en que el adquiriente se encuentre en alguna de las condiciones a que se refiere el artículo 12 de la Ley 1537 de 2012.</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Constitución de hipoteca de viviendas de interés prioritario nuevas.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 Constitución de hipoteca de viviendas de interés prioritario usadas, en los eventos en que el adquiriente se encuentre en alguna de las condiciones a que se refiere el artículo 12 de la Ley 1537 de 2012.</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f) Afectación a la vivienda familiar y/o constitución de patrimonio de familia de viviendas de interés prioritario nuevas.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g) Afectación a vivienda familiar y/o constitución de patrimonio de familia de viviendas de interés prioritario usadas, en los eventos en que quien realiza la afectación o constituye el patrimonio de familia, se encuentre en alguna de las condiciones a que se refiere el artículo 12 de la Ley 1537 de 2012.</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h) Protocolización en notaría de la inversión del subsidio familiar de vivienda de interés social rural y/o afectación a vivienda familiar y/o constitución de patrimonio de familia de soluciones de vivienda de interés social rural nueva y mejorada.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reglamentará la forma en que los interesados acreditarán que se encuentran en alguna de las condiciones a que se refiere el artículo 12 de la Ley 1537 de 2012, cuando sea el caso y las demás condiciones que deberán cumplir los interesados en acceder a las exenciones previstas en el presente artículo, las cuales deberán ser acreditadas ante el notario y la Oficina de Registro de Instrumentos Públicos correspondiente.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Para efectos de la aplicación del presente artículo se acudirá a la definición de vivienda de interés prioritario establecida en las normas vigentes.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Los gravámenes hipotecarios, condiciones resolutorias, pactos comisorios y/o cualquier otra limitación al dominio que recaiga sobre inmuebles adjudicados, enajenados, transferidos, cedidos o asignados por el extinto Instituto de Crédito Territorial y/o por la Unidad Administrativa Especial liquidadora de asuntos del Instituto de Crédito Territorial (UAE-ICT), y/o el Instituto Nacional de Vivienda de Interés Social y Reforma Urbana (</w:t>
      </w:r>
      <w:proofErr w:type="spellStart"/>
      <w:r w:rsidRPr="00BC5DA9">
        <w:rPr>
          <w:rFonts w:ascii="Century Gothic" w:eastAsia="Times New Roman" w:hAnsi="Century Gothic" w:cs="Segoe UI"/>
          <w:lang w:eastAsia="es-CO"/>
        </w:rPr>
        <w:t>Inurbe</w:t>
      </w:r>
      <w:proofErr w:type="spellEnd"/>
      <w:r w:rsidRPr="00BC5DA9">
        <w:rPr>
          <w:rFonts w:ascii="Century Gothic" w:eastAsia="Times New Roman" w:hAnsi="Century Gothic" w:cs="Segoe UI"/>
          <w:lang w:eastAsia="es-CO"/>
        </w:rPr>
        <w:t>) serán cancelados con la presentación del acto administrativo expedido por la autoridad competente, que ordene dicha cancelación, ante la respectiva Oficina de Registro de Instrumentos Públicos, sin que genere cobro de derechos registrales.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Enfoque psicosocial</w:t>
      </w:r>
      <w:r w:rsidRPr="00BC5DA9">
        <w:rPr>
          <w:rFonts w:ascii="Century Gothic" w:eastAsia="Times New Roman" w:hAnsi="Century Gothic" w:cs="Segoe UI"/>
          <w:lang w:eastAsia="es-CO"/>
        </w:rPr>
        <w:t>. Adiciónese el parágrafo 2° del artículo 137 de la Ley 1448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Parágrafo 2°. </w:t>
      </w:r>
      <w:r w:rsidRPr="00BC5DA9">
        <w:rPr>
          <w:rFonts w:ascii="Century Gothic" w:eastAsia="Times New Roman" w:hAnsi="Century Gothic" w:cs="Segoe UI"/>
          <w:lang w:eastAsia="es-CO"/>
        </w:rPr>
        <w:t>El Gobierno Nacional, a través del Departamento para la Prosperidad Social, el Instituto Colombiano de Bienestar Familiar, la Unidad Administrativa Especial de Atención y Reparación a Víctimas y el Ministerio de Salud y Protección Social, complementará las acciones del Programa de Atención Psicosocial y Salud Integral a Víctimas, a fin de avanzar en la rehabilitación y recuperación emocional con enfoque psicosocial de las víctimas, organizaciones y comunidades que han sufrido daño a causa del conflicto armado”.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Reparación Colectiva</w:t>
      </w:r>
      <w:r w:rsidRPr="00BC5DA9">
        <w:rPr>
          <w:rFonts w:ascii="Century Gothic" w:eastAsia="Times New Roman" w:hAnsi="Century Gothic" w:cs="Segoe UI"/>
          <w:lang w:eastAsia="es-CO"/>
        </w:rPr>
        <w:t>. Infraestructura social y comunitaria como medidas de reparación colectiva. Las entidades del Sistema Nacional de Atención y Reparación Integral a las víctimas (SNARIV) podrán desarrollar obras de infraestructura social, educativa y comunitaria, en el marco de su competencia y respetando las disponibilidades presupuestales, como medida de reparación para sujetos de reparación colectiva, incluidos en el Registro Único de Víctimas. Estas medidas responderán al Plan de Reparación Colectiva y se ajustarán al correspondiente diagnóstico del daño ocasionado por el conflicto armado, en los términos de la Ley 1448 de 2011. Estas medidas se desarrollarán en bienes inmuebles de propiedad de las personas jurídicas que sean sujetos de reparación colectiva.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122.</w:t>
      </w:r>
      <w:r w:rsidRPr="00BC5DA9">
        <w:rPr>
          <w:rFonts w:ascii="Century Gothic" w:eastAsia="Times New Roman" w:hAnsi="Century Gothic" w:cs="Segoe UI"/>
          <w:lang w:eastAsia="es-CO"/>
        </w:rPr>
        <w:t xml:space="preserve"> C</w:t>
      </w:r>
      <w:r w:rsidRPr="00BC5DA9">
        <w:rPr>
          <w:rFonts w:ascii="Century Gothic" w:eastAsia="Times New Roman" w:hAnsi="Century Gothic" w:cs="Segoe UI"/>
          <w:i/>
          <w:iCs/>
          <w:lang w:eastAsia="es-CO"/>
        </w:rPr>
        <w:t>omponente de alimentación en la atención integral a las víctimas</w:t>
      </w:r>
      <w:r w:rsidRPr="00BC5DA9">
        <w:rPr>
          <w:rFonts w:ascii="Century Gothic" w:eastAsia="Times New Roman" w:hAnsi="Century Gothic" w:cs="Segoe UI"/>
          <w:lang w:eastAsia="es-CO"/>
        </w:rPr>
        <w:t>. Modifíquese los siguientes parágrafos de los artículos 47, 65 y 66 de la Ley 1448 de 2011, los cuales quedarán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lang w:eastAsia="es-CO"/>
        </w:rPr>
        <w:t>Artículo 47</w:t>
      </w: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Las entidades territoriales en primera instancia y la Unidad Administrativa Especial de Atención y Reparación a Víctimas subsidiariamente deberán prestar el alojamiento y alimentación transitoria en condiciones dignas y de manera inmediata a la violación de los derechos o en el momento en que las autoridades tengan conocimiento de la misma”.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65. </w:t>
      </w:r>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 Unidad Administrativa Especial para la Atención y Reparación Integral a las Víctimas (UARIV) deberá adelantar las acciones pertinentes para garantizar la alimentación de los hogares en situación de desplazamiento. De igual forma lo hará en coordinación con los entes territoriales para garantizar el alojamiento temporal de la población en situación de desplazamiento.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partir de la vigencia de la presente ley, el Gobierno Nacional programará en el proyecto de Presupuesto General de la Nación los recursos que venía ejecutando el Instituto Colombiano de Bienestar Familiar a los que se refieren los anteriores parágrafos en el presupuesto de la UARIV”.</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66. </w:t>
      </w:r>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La Unidad Administrativa Especial para la Atención y Reparación Integral a las Víctimas (UARIV) deberá adelantar las acciones pertinentes ante las distintas entidades que conforman el Sistema Nacional de Atención y Reparación a las Víctimas para garantizar la efectiva atención integral a la población retornada o reubicada, especialmente en lo relacionado con los derechos mínimos de identificación a cargo de la </w:t>
      </w:r>
      <w:proofErr w:type="spellStart"/>
      <w:r w:rsidRPr="00BC5DA9">
        <w:rPr>
          <w:rFonts w:ascii="Century Gothic" w:eastAsia="Times New Roman" w:hAnsi="Century Gothic" w:cs="Segoe UI"/>
          <w:lang w:eastAsia="es-CO"/>
        </w:rPr>
        <w:t>Registraduría</w:t>
      </w:r>
      <w:proofErr w:type="spellEnd"/>
      <w:r w:rsidRPr="00BC5DA9">
        <w:rPr>
          <w:rFonts w:ascii="Century Gothic" w:eastAsia="Times New Roman" w:hAnsi="Century Gothic" w:cs="Segoe UI"/>
          <w:lang w:eastAsia="es-CO"/>
        </w:rPr>
        <w:t xml:space="preserve"> Nacional del Estado Civil, salud a cargo del Ministerio de Salud y Protección Social, educación a cargo del Ministerio de Educación Nacional, reunificación familiar a cargo del Instituto Colombiano de Bienestar Familiar, vivienda digna a cargo del Ministerio de Ambiente, Vivienda y Desarrollo Territorial cuando se trate de vivienda urbana, y a cargo del Ministerio de Agricultura y Desarrollo Rural cuando se trate de vivienda rural, orientación ocupacional a cargo del Servicio Nacional de Aprendizaje. El componente de alimentación en la atención humanitaria para los procesos de retornos y reubicaciones de la población desplazada quedará a cargo de la UARIV”.</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Derechos Humanos y prevención del reclutamiento, utilización y violencia sexual contra niños, niñas y adolescentes por grupos armados al margen de la ley y por grupos de delincuencia organizada</w:t>
      </w:r>
      <w:r w:rsidRPr="00BC5DA9">
        <w:rPr>
          <w:rFonts w:ascii="Century Gothic" w:eastAsia="Times New Roman" w:hAnsi="Century Gothic" w:cs="Segoe UI"/>
          <w:lang w:eastAsia="es-CO"/>
        </w:rPr>
        <w:t xml:space="preserve">. La Consejería Presidencial para los Derechos Humanos o quien haga sus veces, articulará, coordinará y supervisará la implementación de la Política Integral de Derechos Humanos de acuerdo con la “Estrategia Nacional para la Garantía de los Derechos Humanos 2014-2034”. Dicha política se implementará a nivel nacional y territorial, e incorporará el Enfoque Basado en Derechos Humanos (EBDH) como herramienta </w:t>
      </w:r>
      <w:r w:rsidRPr="00BC5DA9">
        <w:rPr>
          <w:rFonts w:ascii="Century Gothic" w:eastAsia="Times New Roman" w:hAnsi="Century Gothic" w:cs="Segoe UI"/>
          <w:lang w:eastAsia="es-CO"/>
        </w:rPr>
        <w:lastRenderedPageBreak/>
        <w:t>esencial para el diseño, formulación, implementación, evaluación, ajuste y rendición de cuentas de todas las políticas públicas. Las entidades territoriales podrán incluir en sus planes de desarrollo las estrategias, metas y objetivos que permitan la realización del EBDH.</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Así mismo, impulsará el diseño, coordinación, articulación y seguimiento de la Política para la prevención del reclutamiento, utilización y violencia sexual contra niños, niñas y adolescentes por grupos armados al margen de la ley y por grupos de delincuencia organizada, incorporando a su vez, un enfoque diferencial étnico para los pueblos indígenas, las comunidades negras, afrocolombianas, raizales y </w:t>
      </w:r>
      <w:proofErr w:type="spellStart"/>
      <w:r w:rsidRPr="00BC5DA9">
        <w:rPr>
          <w:rFonts w:ascii="Century Gothic" w:eastAsia="Times New Roman" w:hAnsi="Century Gothic" w:cs="Segoe UI"/>
          <w:lang w:eastAsia="es-CO"/>
        </w:rPr>
        <w:t>palenqueras</w:t>
      </w:r>
      <w:proofErr w:type="spellEnd"/>
      <w:r w:rsidRPr="00BC5DA9">
        <w:rPr>
          <w:rFonts w:ascii="Century Gothic" w:eastAsia="Times New Roman" w:hAnsi="Century Gothic" w:cs="Segoe UI"/>
          <w:lang w:eastAsia="es-CO"/>
        </w:rPr>
        <w:t xml:space="preserve"> y el pueblo </w:t>
      </w:r>
      <w:proofErr w:type="spellStart"/>
      <w:r w:rsidRPr="00BC5DA9">
        <w:rPr>
          <w:rFonts w:ascii="Century Gothic" w:eastAsia="Times New Roman" w:hAnsi="Century Gothic" w:cs="Segoe UI"/>
          <w:lang w:eastAsia="es-CO"/>
        </w:rPr>
        <w:t>Rrom</w:t>
      </w:r>
      <w:proofErr w:type="spellEnd"/>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Sistema Integral de Prevención y Gestión de Conflictos</w:t>
      </w:r>
      <w:r w:rsidRPr="00BC5DA9">
        <w:rPr>
          <w:rFonts w:ascii="Century Gothic" w:eastAsia="Times New Roman" w:hAnsi="Century Gothic" w:cs="Segoe UI"/>
          <w:lang w:eastAsia="es-CO"/>
        </w:rPr>
        <w:t>. El Gobierno Nacional creará y pondrá en funcionamiento el Sistema Integral de Prevención y Gestión de Conflictos, orientado a generar alertas tempranas que permitan, en ejercicio del diálogo democrático, evitar conflictos sociales, económicos y ambientales.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sistema deberá estar articulado con los demás sistemas u observatorios existentes en el sector público, así como con las entidades territoriales, las cuales deberán estructurar de manera armónica y compatible sus sistemas de información, dentro del año siguiente a la promulgación de la presente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Contratación de bienes y servicios de la Dirección Nacional de Inteligencia</w:t>
      </w:r>
      <w:r w:rsidRPr="00BC5DA9">
        <w:rPr>
          <w:rFonts w:ascii="Century Gothic" w:eastAsia="Times New Roman" w:hAnsi="Century Gothic" w:cs="Segoe UI"/>
          <w:lang w:eastAsia="es-CO"/>
        </w:rPr>
        <w:t>. Adiciónese un literal al numeral 4 del artículo 2° de la Ley 1150 de 2007,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j) La contratación de bienes y servicios de la Dirección Nacional de Inteligencia (DNI), que requieran reserva para su adquisición.”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Acuerdos de cooperación para misiones internacionales y operaciones de paz. </w:t>
      </w:r>
      <w:r w:rsidRPr="00BC5DA9">
        <w:rPr>
          <w:rFonts w:ascii="Century Gothic" w:eastAsia="Times New Roman" w:hAnsi="Century Gothic" w:cs="Segoe UI"/>
          <w:lang w:eastAsia="es-CO"/>
        </w:rPr>
        <w:t>El Gobierno Nacional, a través del Ministerio de Defensa Nacional, en el marco del proceso de modernización de la Fuerza Pública, promoverá la celebración de acuerdos de cooperación internacional que permitan prestar y recibir asesoría, envío de personal y transferencia de equipos a otros países con el objeto de intercambiar experiencias, entrenamiento y capacitación, así como para la participación en misiones internacionales u operaciones de paz.</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acuerdos que se suscriban como consecuencia de dicha promoción estarán sujetos a las disposiciones constitucionales y legales pertinentes.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Consejo Interinstitucional del Posconflicto</w:t>
      </w:r>
      <w:r w:rsidRPr="00BC5DA9">
        <w:rPr>
          <w:rFonts w:ascii="Century Gothic" w:eastAsia="Times New Roman" w:hAnsi="Century Gothic" w:cs="Segoe UI"/>
          <w:lang w:eastAsia="es-CO"/>
        </w:rPr>
        <w:t xml:space="preserve">. Créase el Consejo Interinstitucional del Posconflicto como organismo consultivo y coordinador para el Posconflicto, a cargo de la Presidencia de la República en cabeza del Ministro Consejero para el Posconflicto, Derechos Humanos y Seguridad o de quien haga </w:t>
      </w:r>
      <w:r w:rsidRPr="00BC5DA9">
        <w:rPr>
          <w:rFonts w:ascii="Century Gothic" w:eastAsia="Times New Roman" w:hAnsi="Century Gothic" w:cs="Segoe UI"/>
          <w:lang w:eastAsia="es-CO"/>
        </w:rPr>
        <w:lastRenderedPageBreak/>
        <w:t>sus veces, con el fin de facilitar la coordinación interinstitucional, la coordinación entre el nivel nacional y territorial y facilitar la toma de decisiones que se requieran para articular y supervisar la preparación del alistamiento e implementación de los acuerdos que se deriven de las conversaciones entre el Gobierno Nacional y las organizaciones armadas ilegales, así como para articular los programas que contribuyan de manera fundamental al posconflicto y a la construcción de paz.</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Consejo estará integrado por el Ministro de Hacienda y Crédito Público, el Ministro del Interior, el Ministerio de Defensa, el Ministro Consejero de Gobierno y Sector Privado, el Alto Comisionado para la Paz, el Director del Departamento Nacional de Planeación, el Director del Departamento para la Prosperidad Social, y el Ministro Consejero para el Posconflicto, Derechos Humanos y Seguridad, quien lo presidirá. Podrán ser invitados otros miembros del Gobierno Nacional y entidades territoriales, cuando así lo decida el Consejo.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Direccionamiento estratégico de la Acción Integral contra Minas Antipersonal (AICMA)</w:t>
      </w:r>
      <w:r w:rsidRPr="00BC5DA9">
        <w:rPr>
          <w:rFonts w:ascii="Century Gothic" w:eastAsia="Times New Roman" w:hAnsi="Century Gothic" w:cs="Segoe UI"/>
          <w:lang w:eastAsia="es-CO"/>
        </w:rPr>
        <w:t>. El direccionamiento estratégico de la Acción Integral contra Minas Antipersonal (AICMA) será responsabilidad del Departamento Administrativo de la Presidencia, el cual establecerá los mecanismos institucionales de gerencia, coordinación y monitoreo en el orden nacional y territorial, así como los lineamientos técnicos para regular a todos los actores estatales y no estatales de la AICMA.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Direccionamiento estratégico relacionado con el Desminado Humanitario se realizará de manera coordinada con el Ministerio de Defensa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129.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Evaluación de la Política Pública Nacional de Equidad de Género para las Mujeres y de la Política Pública para la Prevención de Riesgos, la Protección y Garantía de los Derechos de las Mujeres Víctimas del conflicto armado</w:t>
      </w:r>
      <w:r w:rsidRPr="00BC5DA9">
        <w:rPr>
          <w:rFonts w:ascii="Century Gothic" w:eastAsia="Times New Roman" w:hAnsi="Century Gothic" w:cs="Segoe UI"/>
          <w:lang w:eastAsia="es-CO"/>
        </w:rPr>
        <w:t>. El Gobierno Nacional realizará una evaluación participativa de la Política Pública Nacional de Equidad de Género para las Mujeres y de la Política Pública para la Prevención de Riesgos, la Protección y Garantía de los Derechos de las Mujeres Víctimas del conflicto armado. El diseño de estas evaluaciones iniciará en el primer semestre de 2016 y a partir de sus hallazgos se ajustarán las acciones,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proofErr w:type="gramStart"/>
      <w:r w:rsidRPr="00BC5DA9">
        <w:rPr>
          <w:rFonts w:ascii="Century Gothic" w:eastAsia="Times New Roman" w:hAnsi="Century Gothic" w:cs="Segoe UI"/>
          <w:lang w:eastAsia="es-CO"/>
        </w:rPr>
        <w:t>metas</w:t>
      </w:r>
      <w:proofErr w:type="gramEnd"/>
      <w:r w:rsidRPr="00BC5DA9">
        <w:rPr>
          <w:rFonts w:ascii="Century Gothic" w:eastAsia="Times New Roman" w:hAnsi="Century Gothic" w:cs="Segoe UI"/>
          <w:lang w:eastAsia="es-CO"/>
        </w:rPr>
        <w:t xml:space="preserve"> y presupuestos de estas políticas para el presente cuatrienio donde se incluirán las acciones que permitan avanzar en la protección y garantía de los derechos de las mujeres rurales, afrocolombianas, negras, raizales, palanqueras e indígenas, que contribuyan a su estabilización social y económica, con un enfoque territorial, etario y de justicia.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Departamento Nacional de Planeación y la Consejería para la Equidad de la Mujer propondrán a la Comisión Intersectorial para la Implementación de la Política Pública Nacional de Equidad de Género el mecanismo para la participación de las organizaciones de mujeres y de mujeres víctimas en la evaluación y seguimiento de las políticas a las que hace referencia el presente artículo.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Consejería para la Equidad de la Mujer, con el apoyo de las entidades que hacen parte de la Comisión Intersectorial para la Implementación de la Política Pública Nacional de Equidad de Género, adoptará acciones concretas para la armonización de las políticas a las que hace referencia el presente artículo, con los planes de desarrollo territorial.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Departamento Nacional de Planeación y el Ministerio de Hacienda y Crédito Público diseñarán un mecanismo que permita a las entidades del Gobierno Nacional incluir el enfoque diferencial de género en sus procesos de planeación y presupuesto.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130.</w:t>
      </w:r>
      <w:r w:rsidRPr="00BC5DA9">
        <w:rPr>
          <w:rFonts w:ascii="Century Gothic" w:eastAsia="Times New Roman" w:hAnsi="Century Gothic" w:cs="Segoe UI"/>
          <w:lang w:eastAsia="es-CO"/>
        </w:rPr>
        <w:t xml:space="preserve"> P</w:t>
      </w:r>
      <w:r w:rsidRPr="00BC5DA9">
        <w:rPr>
          <w:rFonts w:ascii="Century Gothic" w:eastAsia="Times New Roman" w:hAnsi="Century Gothic" w:cs="Segoe UI"/>
          <w:i/>
          <w:iCs/>
          <w:lang w:eastAsia="es-CO"/>
        </w:rPr>
        <w:t>olítica pública nacional para la garantía de los derechos LGBTI</w:t>
      </w:r>
      <w:r w:rsidRPr="00BC5DA9">
        <w:rPr>
          <w:rFonts w:ascii="Century Gothic" w:eastAsia="Times New Roman" w:hAnsi="Century Gothic" w:cs="Segoe UI"/>
          <w:lang w:eastAsia="es-CO"/>
        </w:rPr>
        <w:t xml:space="preserve">. El Gobierno nacional a través de sus entidades, llevará a cabo las acciones necesarias tendientes a la implementación y seguimiento de la Política Pública Nacional para la Garantía de Derechos de Lesbianas, Gais, Bisexuales, </w:t>
      </w:r>
      <w:proofErr w:type="spellStart"/>
      <w:r w:rsidRPr="00BC5DA9">
        <w:rPr>
          <w:rFonts w:ascii="Century Gothic" w:eastAsia="Times New Roman" w:hAnsi="Century Gothic" w:cs="Segoe UI"/>
          <w:lang w:eastAsia="es-CO"/>
        </w:rPr>
        <w:t>Transgeneristas</w:t>
      </w:r>
      <w:proofErr w:type="spellEnd"/>
      <w:r w:rsidRPr="00BC5DA9">
        <w:rPr>
          <w:rFonts w:ascii="Century Gothic" w:eastAsia="Times New Roman" w:hAnsi="Century Gothic" w:cs="Segoe UI"/>
          <w:lang w:eastAsia="es-CO"/>
        </w:rPr>
        <w:t xml:space="preserve"> e Intersexuales (LGBTI) a través del Ministerio del Interior, e impulsará ante las Entidades Territoriales la inclusión en los Planes de Desarrollo Departamentales, Distritales y Municipales de acciones y metas que garanticen los derechos de las personas de los sectores sociales LGBTI.</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Estatuto del Pueblo Raizal y reserva de biósfera </w:t>
      </w:r>
      <w:proofErr w:type="spellStart"/>
      <w:r w:rsidRPr="00BC5DA9">
        <w:rPr>
          <w:rFonts w:ascii="Century Gothic" w:eastAsia="Times New Roman" w:hAnsi="Century Gothic" w:cs="Segoe UI"/>
          <w:i/>
          <w:iCs/>
          <w:lang w:eastAsia="es-CO"/>
        </w:rPr>
        <w:t>Seaflower</w:t>
      </w:r>
      <w:proofErr w:type="spellEnd"/>
      <w:r w:rsidRPr="00BC5DA9">
        <w:rPr>
          <w:rFonts w:ascii="Century Gothic" w:eastAsia="Times New Roman" w:hAnsi="Century Gothic" w:cs="Segoe UI"/>
          <w:lang w:eastAsia="es-CO"/>
        </w:rPr>
        <w:t xml:space="preserve">. En el marco de la aplicación del Convenio 169 de la OIT, la Ley 21 de 1991 y la Declaración de la Reserva de Biósfera </w:t>
      </w:r>
      <w:proofErr w:type="spellStart"/>
      <w:r w:rsidRPr="00BC5DA9">
        <w:rPr>
          <w:rFonts w:ascii="Century Gothic" w:eastAsia="Times New Roman" w:hAnsi="Century Gothic" w:cs="Segoe UI"/>
          <w:lang w:eastAsia="es-CO"/>
        </w:rPr>
        <w:t>Seaflower</w:t>
      </w:r>
      <w:proofErr w:type="spellEnd"/>
      <w:r w:rsidRPr="00BC5DA9">
        <w:rPr>
          <w:rFonts w:ascii="Century Gothic" w:eastAsia="Times New Roman" w:hAnsi="Century Gothic" w:cs="Segoe UI"/>
          <w:lang w:eastAsia="es-CO"/>
        </w:rPr>
        <w:t xml:space="preserve"> de la Unesco, el Gobierne Nacional, en conjunto con una comisión de ambas Cámaras del Congreso de la República, presentará a consideración del legislativo, cumplidos los trámites de consulta previa e informada con el pueblo raizal, un proyecto de Estatuto del Pueblo Raizal del Archipiélago de San Andrés, Providencia y Santa Catalina.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Derogatoria del contrató de transacción</w:t>
      </w:r>
      <w:r w:rsidRPr="00BC5DA9">
        <w:rPr>
          <w:rFonts w:ascii="Century Gothic" w:eastAsia="Times New Roman" w:hAnsi="Century Gothic" w:cs="Segoe UI"/>
          <w:lang w:eastAsia="es-CO"/>
        </w:rPr>
        <w:t>. Deróguese los incisos 2°, 3° del artículo 132 de la Ley 1448 de 2011, así como la expresión del parágrafo 1° del mismo artículo: “Así mismo, las víctimas que al momento de le expedición de la presente ley hubiesen recibido indemnización administrativa por parte del Estado, contarán con un (1) año contado a partir de la expedición de le presente ley para manifestarle por escrito, a la Agencia Presidencial para la Acción Social y la Cooperación Internacional o a la Unidad Administrativa Especial para la Atención y Reparación a las Víctimas, si ya estuviese en funcionamiento, si desear aceptar de forma expresa y voluntaria que la indemnización administrativa fue entregada en el marco de un contrato de transacción en los términos del presente artículo. En este evento, la Agencia Presidencial para la Acción Social y la Cooperación Internacional o a la Unidad Administrativa Especial para la Atención y Reparación a las Víctimas según sea el caso, deberá volver a examinar el monto de la indemnización entregado a la víctima y comunicarle el procedimiento que debe surtirse, de conformidad con el reglamento que el Gobierno Nacional establezca para el efecto, para entregar las sumas adicionales a que haya lugar”.</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Igualmente deróguese la expresión del artículo 133 de la Ley 1448 de 2011: “En los eventos en que la víctima no acepte de forma expresa y voluntaria, que la </w:t>
      </w:r>
      <w:r w:rsidRPr="00BC5DA9">
        <w:rPr>
          <w:rFonts w:ascii="Century Gothic" w:eastAsia="Times New Roman" w:hAnsi="Century Gothic" w:cs="Segoe UI"/>
          <w:lang w:eastAsia="es-CO"/>
        </w:rPr>
        <w:lastRenderedPageBreak/>
        <w:t>entrega y recepción de la indemnización administrativa se entiende realizada en el marco de un contrato de transacción en los términos del artículo anterior, y el Estado sea condenado judicialmente a repararla, se descontarán de dicha condena la suma de dinero que la víctima haya recibido de cualquier entidad del Estado y que constituyan reparación”.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lang w:eastAsia="es-CO"/>
        </w:rPr>
        <w:t>CAPÍTULO V</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center"/>
        <w:rPr>
          <w:rFonts w:ascii="Century Gothic" w:eastAsia="Times New Roman" w:hAnsi="Century Gothic" w:cs="Times New Roman"/>
          <w:lang w:eastAsia="es-MX"/>
        </w:rPr>
      </w:pPr>
      <w:r w:rsidRPr="00BC5DA9">
        <w:rPr>
          <w:rFonts w:ascii="Century Gothic" w:eastAsia="Times New Roman" w:hAnsi="Century Gothic" w:cs="Segoe UI"/>
          <w:b/>
          <w:bCs/>
          <w:lang w:eastAsia="es-CO"/>
        </w:rPr>
        <w:t>Buen Gobierno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Integración de Sistemas de Gestión</w:t>
      </w:r>
      <w:r w:rsidRPr="00BC5DA9">
        <w:rPr>
          <w:rFonts w:ascii="Century Gothic" w:eastAsia="Times New Roman" w:hAnsi="Century Gothic" w:cs="Segoe UI"/>
          <w:lang w:eastAsia="es-CO"/>
        </w:rPr>
        <w:t xml:space="preserve">. Intégrense en un solo Sistema de Gestión, los Sistemas de Gestión de la Calidad de </w:t>
      </w:r>
      <w:proofErr w:type="spellStart"/>
      <w:r w:rsidRPr="00BC5DA9">
        <w:rPr>
          <w:rFonts w:ascii="Century Gothic" w:eastAsia="Times New Roman" w:hAnsi="Century Gothic" w:cs="Segoe UI"/>
          <w:lang w:eastAsia="es-CO"/>
        </w:rPr>
        <w:t>que</w:t>
      </w:r>
      <w:proofErr w:type="spellEnd"/>
      <w:r w:rsidRPr="00BC5DA9">
        <w:rPr>
          <w:rFonts w:ascii="Century Gothic" w:eastAsia="Times New Roman" w:hAnsi="Century Gothic" w:cs="Segoe UI"/>
          <w:lang w:eastAsia="es-CO"/>
        </w:rPr>
        <w:t xml:space="preserv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Gobierno Nacional reglamentará la materia y establecerá el modelo que desarrolle la integración y articulación de los anteriores sistemas, en el cual se deberá determinar de manera clara el campo de aplicación de cada uno de ellos con criterios diferenciales en el territorio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Una vez se reglamente y entre en aplicación el nuevo Modelo de Gestión, los artículos 15 al 23 de la Ley 489 de 1998 y la Ley 872 de 2003 perderán vigencia.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Concursos o procesos de selección</w:t>
      </w:r>
      <w:r w:rsidRPr="00BC5DA9">
        <w:rPr>
          <w:rFonts w:ascii="Century Gothic" w:eastAsia="Times New Roman" w:hAnsi="Century Gothic" w:cs="Segoe UI"/>
          <w:lang w:eastAsia="es-CO"/>
        </w:rPr>
        <w:t>. Modifíquese el artículo 3° del Decreto ley 760 de 2005,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3°. </w:t>
      </w:r>
      <w:r w:rsidRPr="00BC5DA9">
        <w:rPr>
          <w:rFonts w:ascii="Century Gothic" w:eastAsia="Times New Roman" w:hAnsi="Century Gothic" w:cs="Segoe UI"/>
          <w:lang w:eastAsia="es-CO"/>
        </w:rPr>
        <w:t>Los concursos o procesos de selección serán adelantados por la Comisión Nacional del Servicio Civil (CNSC) a través de contratos o convenios interadministrativos suscritos con el Instituto Colombiano para la Evaluación de la Educación (</w:t>
      </w:r>
      <w:proofErr w:type="spellStart"/>
      <w:r w:rsidRPr="00BC5DA9">
        <w:rPr>
          <w:rFonts w:ascii="Century Gothic" w:eastAsia="Times New Roman" w:hAnsi="Century Gothic" w:cs="Segoe UI"/>
          <w:lang w:eastAsia="es-CO"/>
        </w:rPr>
        <w:t>Icfes</w:t>
      </w:r>
      <w:proofErr w:type="spellEnd"/>
      <w:r w:rsidRPr="00BC5DA9">
        <w:rPr>
          <w:rFonts w:ascii="Century Gothic" w:eastAsia="Times New Roman" w:hAnsi="Century Gothic" w:cs="Segoe UI"/>
          <w:lang w:eastAsia="es-CO"/>
        </w:rPr>
        <w:t>) o en su defecto con universidades públicas o privadas, instituciones universitarias e instituciones de educación superior acreditadas por el Ministerio de Educación Nacional para tal fin. Dentro de los criterios de acreditación se privilegiará la experiencia e idoneidad del recurso humano que vaya a realizar los concursos.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 CNSC, las universidades públicas o privadas, instituciones universitarias y las instituciones de educación superior que adelanten los concursos, podrán apoyarse en entidades oficiales especializadas en la materia, como el </w:t>
      </w:r>
      <w:proofErr w:type="spellStart"/>
      <w:r w:rsidRPr="00BC5DA9">
        <w:rPr>
          <w:rFonts w:ascii="Century Gothic" w:eastAsia="Times New Roman" w:hAnsi="Century Gothic" w:cs="Segoe UI"/>
          <w:lang w:eastAsia="es-CO"/>
        </w:rPr>
        <w:t>Icfes</w:t>
      </w:r>
      <w:proofErr w:type="spellEnd"/>
      <w:r w:rsidRPr="00BC5DA9">
        <w:rPr>
          <w:rFonts w:ascii="Century Gothic" w:eastAsia="Times New Roman" w:hAnsi="Century Gothic" w:cs="Segoe UI"/>
          <w:lang w:eastAsia="es-CO"/>
        </w:rPr>
        <w:t xml:space="preserve">, para las inscripciones, el diseño, la aplicación y la evaluación de las pruebas; el </w:t>
      </w:r>
      <w:proofErr w:type="spellStart"/>
      <w:r w:rsidRPr="00BC5DA9">
        <w:rPr>
          <w:rFonts w:ascii="Century Gothic" w:eastAsia="Times New Roman" w:hAnsi="Century Gothic" w:cs="Segoe UI"/>
          <w:lang w:eastAsia="es-CO"/>
        </w:rPr>
        <w:t>Icfes</w:t>
      </w:r>
      <w:proofErr w:type="spellEnd"/>
      <w:r w:rsidRPr="00BC5DA9">
        <w:rPr>
          <w:rFonts w:ascii="Century Gothic" w:eastAsia="Times New Roman" w:hAnsi="Century Gothic" w:cs="Segoe UI"/>
          <w:lang w:eastAsia="es-CO"/>
        </w:rPr>
        <w:t xml:space="preserve"> podrá brindar su apoyo a uno o más concursos de manera simultánea.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costos asociados a los concursos o procesos de selección deberán ser determinados a través de Acuerdos Marco de Precios establecidos, diseñados y adoptados por la Agencia Nacional de Contratación Pública, Colombia Compra Eficiente.</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Parágrafo transitorio. Hasta tanto Colombia Compra Eficiente adopte los acuerdos Marco de Precios, los bienes o servicios que requiera la Comisión serán adquiridos a través de la modalidad de contratación que legalmente corresponda”.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Ingreso Base de Cotización (IBC) de los independientes</w:t>
      </w:r>
      <w:r w:rsidRPr="00BC5DA9">
        <w:rPr>
          <w:rFonts w:ascii="Century Gothic" w:eastAsia="Times New Roman" w:hAnsi="Century Gothic" w:cs="Segoe UI"/>
          <w:lang w:eastAsia="es-CO"/>
        </w:rPr>
        <w:t>. Los trabajadores independientes por cuenta propia y los independientes con contrato diferente a prestación de servicios que perciban ingresos mensuales iguales o superiores a un (1) salario mínimo mensual legal vigente (</w:t>
      </w:r>
      <w:proofErr w:type="spellStart"/>
      <w:r w:rsidRPr="00BC5DA9">
        <w:rPr>
          <w:rFonts w:ascii="Century Gothic" w:eastAsia="Times New Roman" w:hAnsi="Century Gothic" w:cs="Segoe UI"/>
          <w:lang w:eastAsia="es-CO"/>
        </w:rPr>
        <w:t>smmlv</w:t>
      </w:r>
      <w:proofErr w:type="spellEnd"/>
      <w:r w:rsidRPr="00BC5DA9">
        <w:rPr>
          <w:rFonts w:ascii="Century Gothic" w:eastAsia="Times New Roman" w:hAnsi="Century Gothic" w:cs="Segoe UI"/>
          <w:lang w:eastAsia="es-CO"/>
        </w:rPr>
        <w:t xml:space="preserve">), cotizarán mes vencido al Sistema Integral de Seguridad Social sobre un ingreso base de cotización mínimo del cuarenta por ciento (40%) del valor </w:t>
      </w:r>
      <w:proofErr w:type="spellStart"/>
      <w:r w:rsidRPr="00BC5DA9">
        <w:rPr>
          <w:rFonts w:ascii="Century Gothic" w:eastAsia="Times New Roman" w:hAnsi="Century Gothic" w:cs="Segoe UI"/>
          <w:lang w:eastAsia="es-CO"/>
        </w:rPr>
        <w:t>mensualizado</w:t>
      </w:r>
      <w:proofErr w:type="spellEnd"/>
      <w:r w:rsidRPr="00BC5DA9">
        <w:rPr>
          <w:rFonts w:ascii="Century Gothic" w:eastAsia="Times New Roman" w:hAnsi="Century Gothic" w:cs="Segoe UI"/>
          <w:lang w:eastAsia="es-CO"/>
        </w:rPr>
        <w:t xml:space="preserve"> de sus ingresos, sin 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w:t>
      </w:r>
      <w:hyperlink r:id="rId7" w:tooltip="Estatuto Tributario CETA" w:history="1">
        <w:r w:rsidRPr="00BC5DA9">
          <w:rPr>
            <w:rFonts w:ascii="Century Gothic" w:eastAsia="Times New Roman" w:hAnsi="Century Gothic" w:cs="Segoe UI"/>
            <w:lang w:eastAsia="es-CO"/>
          </w:rPr>
          <w:t>artículo 107</w:t>
        </w:r>
      </w:hyperlink>
      <w:r w:rsidRPr="00BC5DA9">
        <w:rPr>
          <w:rFonts w:ascii="Century Gothic" w:eastAsia="Times New Roman" w:hAnsi="Century Gothic" w:cs="Segoe UI"/>
          <w:lang w:eastAsia="es-CO"/>
        </w:rPr>
        <w:t xml:space="preserve"> del Estatuto Tributario.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caso de que el ingreso base de cotización así obtenido resulte inferior al determinado por el sistema de presunción de ingresos que determine el Gobierno Nacional, se aplicará este último según la metodología que para tal fin se establezca y tendrá fiscalización preferente por parte de la Unidad Administrativa Especial de Gestión Pensional y Contribuciones Parafiscales de la Protección Social (UGPP). No obstante, el afiliado podrá pagar un menor valor al determinado por dicha presunción siempre y cuando cuente con los documentos que soportan la deducción de expensas, los cuales serán requeridos en los procesos de fiscalización preferente que adelante la UGPP.</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En el caso de los contratos de prestación de servicios personales relacionados con las funciones de la entidad contratante y que no impliquen subcontratación alguna o compra de insumos o expensas relacionados directamente con la ejecución del contrato, el ingreso base de cotización será en todos los casos mínimo el 40% de valor </w:t>
      </w:r>
      <w:proofErr w:type="spellStart"/>
      <w:r w:rsidRPr="00BC5DA9">
        <w:rPr>
          <w:rFonts w:ascii="Century Gothic" w:eastAsia="Times New Roman" w:hAnsi="Century Gothic" w:cs="Segoe UI"/>
          <w:lang w:eastAsia="es-CO"/>
        </w:rPr>
        <w:t>mensualizado</w:t>
      </w:r>
      <w:proofErr w:type="spellEnd"/>
      <w:r w:rsidRPr="00BC5DA9">
        <w:rPr>
          <w:rFonts w:ascii="Century Gothic" w:eastAsia="Times New Roman" w:hAnsi="Century Gothic" w:cs="Segoe UI"/>
          <w:lang w:eastAsia="es-CO"/>
        </w:rPr>
        <w:t xml:space="preserve"> de cada contrato, sin incluir el valor total el Impuesto al Valor Agregado (IVA), y no aplicará el sistema de presunción de ingresos ni la deducción de expensas. Los contratantes públicos y privados deberán efectuar directamente la retención de la cotización de los contratistas, a partir de la fecha y en la forma que para el efecto establezca el Gobierno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Lo anterior en concordancia con el artículo 5° de la Ley 797 de 2003.</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136.</w:t>
      </w:r>
      <w:r w:rsidRPr="00BC5DA9">
        <w:rPr>
          <w:rFonts w:ascii="Century Gothic" w:eastAsia="Times New Roman" w:hAnsi="Century Gothic" w:cs="Segoe UI"/>
          <w:lang w:eastAsia="es-CO"/>
        </w:rPr>
        <w:t xml:space="preserve"> </w:t>
      </w:r>
      <w:proofErr w:type="spellStart"/>
      <w:r w:rsidRPr="00BC5DA9">
        <w:rPr>
          <w:rFonts w:ascii="Century Gothic" w:eastAsia="Times New Roman" w:hAnsi="Century Gothic" w:cs="Segoe UI"/>
          <w:i/>
          <w:iCs/>
          <w:lang w:eastAsia="es-CO"/>
        </w:rPr>
        <w:t>Presupuestación</w:t>
      </w:r>
      <w:proofErr w:type="spellEnd"/>
      <w:r w:rsidRPr="00BC5DA9">
        <w:rPr>
          <w:rFonts w:ascii="Century Gothic" w:eastAsia="Times New Roman" w:hAnsi="Century Gothic" w:cs="Segoe UI"/>
          <w:i/>
          <w:iCs/>
          <w:lang w:eastAsia="es-CO"/>
        </w:rPr>
        <w:t xml:space="preserve"> del CREE. </w:t>
      </w:r>
      <w:r w:rsidRPr="00BC5DA9">
        <w:rPr>
          <w:rFonts w:ascii="Century Gothic" w:eastAsia="Times New Roman" w:hAnsi="Century Gothic" w:cs="Segoe UI"/>
          <w:lang w:eastAsia="es-CO"/>
        </w:rPr>
        <w:t>Modifíquese el inciso 4° del artículo 24 de la Ley 1607 de 2012, adicionado por el artículo 18 de la Ley 1739 de 2014,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“A partir del período gravable 2016, del nueve por ciento (9%) de la tarifa del impuesto al que se refiere el inciso 2° del artículo 23 de la presente ley, un punto se distribuirá así: 0,4 puntos se destinarán a financiar programas de atención a la primera infancia, y 0,6 puntos a financiar las instituciones de educación superior públicas, créditos beca a través del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xml:space="preserve">, y mejoramiento de la calidad de la educación superior. Los recursos de que trata este inciso y que serán destinados a financiar las instituciones de educación superior públicas, créditos beca a través del </w:t>
      </w:r>
      <w:proofErr w:type="spellStart"/>
      <w:r w:rsidRPr="00BC5DA9">
        <w:rPr>
          <w:rFonts w:ascii="Century Gothic" w:eastAsia="Times New Roman" w:hAnsi="Century Gothic" w:cs="Segoe UI"/>
          <w:lang w:eastAsia="es-CO"/>
        </w:rPr>
        <w:t>Icetex</w:t>
      </w:r>
      <w:proofErr w:type="spellEnd"/>
      <w:r w:rsidRPr="00BC5DA9">
        <w:rPr>
          <w:rFonts w:ascii="Century Gothic" w:eastAsia="Times New Roman" w:hAnsi="Century Gothic" w:cs="Segoe UI"/>
          <w:lang w:eastAsia="es-CO"/>
        </w:rPr>
        <w:t>, y mejoramiento de la calidad de la educación superior, serán presupuestados en la sección del Ministerio de Educación Nacional y los destinados a financiar programas de atención a la primera infancia, en la sección del Ministerio de Hacienda y Crédito Público, los cuales para su distribución seguirán los lineamientos definidos por la Comisión Intersectorial para la Primera Infancia”.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137.</w:t>
      </w:r>
      <w:r w:rsidRPr="00BC5DA9">
        <w:rPr>
          <w:rFonts w:ascii="Century Gothic" w:eastAsia="Times New Roman" w:hAnsi="Century Gothic" w:cs="Segoe UI"/>
          <w:lang w:eastAsia="es-CO"/>
        </w:rPr>
        <w:t xml:space="preserve"> </w:t>
      </w:r>
      <w:proofErr w:type="spellStart"/>
      <w:r w:rsidRPr="00BC5DA9">
        <w:rPr>
          <w:rFonts w:ascii="Century Gothic" w:eastAsia="Times New Roman" w:hAnsi="Century Gothic" w:cs="Segoe UI"/>
          <w:i/>
          <w:iCs/>
          <w:lang w:eastAsia="es-CO"/>
        </w:rPr>
        <w:t>Multifondos</w:t>
      </w:r>
      <w:proofErr w:type="spellEnd"/>
      <w:r w:rsidRPr="00BC5DA9">
        <w:rPr>
          <w:rFonts w:ascii="Century Gothic" w:eastAsia="Times New Roman" w:hAnsi="Century Gothic" w:cs="Segoe UI"/>
          <w:lang w:eastAsia="es-CO"/>
        </w:rPr>
        <w:t>. Modifíquese el literal c) del artículo 60 de la Ley 100 de 1993,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Los afiliados al sistema podrán escoger y trasladarse libremente entre entidades administradoras y entre los Fondos de Pensiones gestionados por ellas según la regulación aplicable para el efecto, así como seleccionar la aseguradora con la cual contraten las rentas o pensiones.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En todo caso, dentro del esquema de </w:t>
      </w:r>
      <w:proofErr w:type="spellStart"/>
      <w:r w:rsidRPr="00BC5DA9">
        <w:rPr>
          <w:rFonts w:ascii="Century Gothic" w:eastAsia="Times New Roman" w:hAnsi="Century Gothic" w:cs="Segoe UI"/>
          <w:lang w:eastAsia="es-CO"/>
        </w:rPr>
        <w:t>multifondos</w:t>
      </w:r>
      <w:proofErr w:type="spellEnd"/>
      <w:r w:rsidRPr="00BC5DA9">
        <w:rPr>
          <w:rFonts w:ascii="Century Gothic" w:eastAsia="Times New Roman" w:hAnsi="Century Gothic" w:cs="Segoe UI"/>
          <w:lang w:eastAsia="es-CO"/>
        </w:rPr>
        <w:t>, el Gobierno nacional definirá unas reglas de asignación para aquellos afiliados que no escojan el fondo de pensiones dentro de los tiempos definidos por las normas respectivas, reglas de asignación que tendrán en cuenta la edad y el género del afiliado. Todas las asignaciones a que se refiere el presente artículo serán informadas al afiliado.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Así mismo, la administradora tendrá la obligación expresa de informar a los afiliados sus derechos y obligaciones de manera tal que les permitan la adopción de decisiones informadas. Por su parte, el afiliado deberá manifestar de forma libre y expresa a la administradora correspondiente, que entiende las consecuencias derivadas de su elección en cuanto a los riesgos y beneficios que caracterizan este fondo.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implementación de lo establecido en el presente literal estará condicionado a la exigencia por parte de la Superintendencia Financiera a las entidades administradoras de pensiones del diseño, desarrollo y puesta en marcha campañas de educación financiera previsional encaminadas a que los afiliados al Régimen de Ahorro Individual con Solidaridad conozcan, entiendan y comprendan los efectos de la aplicación de las medidas definidas.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Cobertura de rentas vitalicias</w:t>
      </w:r>
      <w:r w:rsidRPr="00BC5DA9">
        <w:rPr>
          <w:rFonts w:ascii="Century Gothic" w:eastAsia="Times New Roman" w:hAnsi="Century Gothic" w:cs="Segoe UI"/>
          <w:lang w:eastAsia="es-CO"/>
        </w:rPr>
        <w:t>. Modifíquese el parágrafo del artículo 14 de la Ley 100 de 1993,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w:t>
      </w:r>
      <w:r w:rsidRPr="00BC5DA9">
        <w:rPr>
          <w:rFonts w:ascii="Century Gothic" w:eastAsia="Times New Roman" w:hAnsi="Century Gothic" w:cs="Segoe UI"/>
          <w:b/>
          <w:bCs/>
          <w:lang w:eastAsia="es-CO"/>
        </w:rPr>
        <w:t>Parágrafo</w:t>
      </w:r>
      <w:r w:rsidRPr="00BC5DA9">
        <w:rPr>
          <w:rFonts w:ascii="Century Gothic" w:eastAsia="Times New Roman" w:hAnsi="Century Gothic" w:cs="Segoe UI"/>
          <w:lang w:eastAsia="es-CO"/>
        </w:rPr>
        <w:t>. El Gobierno nacional podrá establecer mecanismos de cobertura que permitan a las aseguradoras cubrir el riesgo del incremento que podrían tener las pensiones de renta vitalicia inmediata y renta vitalicia diferida de que tratan los artículos 80 y 82 de esta ley cuando el aumento del salario mínimo mensual legal vigente sea superior a la variación porcentual del Índice de Precios al Consumidor certificada por el Departamento Administrativo Nacional de Estadística para el respectivo año. El Gobierno nacional determinará los costos que resulten procedentes en la aplicación de estos mecanismos de cobertura. El Consejo Superior de Política Fiscal (</w:t>
      </w:r>
      <w:proofErr w:type="spellStart"/>
      <w:r w:rsidRPr="00BC5DA9">
        <w:rPr>
          <w:rFonts w:ascii="Century Gothic" w:eastAsia="Times New Roman" w:hAnsi="Century Gothic" w:cs="Segoe UI"/>
          <w:lang w:eastAsia="es-CO"/>
        </w:rPr>
        <w:t>Confis</w:t>
      </w:r>
      <w:proofErr w:type="spellEnd"/>
      <w:r w:rsidRPr="00BC5DA9">
        <w:rPr>
          <w:rFonts w:ascii="Century Gothic" w:eastAsia="Times New Roman" w:hAnsi="Century Gothic" w:cs="Segoe UI"/>
          <w:lang w:eastAsia="es-CO"/>
        </w:rPr>
        <w:t>) otorgará aval fiscal para estas coberturas”.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139.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Aprobación de cálculos actuariales de pasivos pensionales de entidades públicas del orden nacional liquidadas</w:t>
      </w:r>
      <w:r w:rsidRPr="00BC5DA9">
        <w:rPr>
          <w:rFonts w:ascii="Century Gothic" w:eastAsia="Times New Roman" w:hAnsi="Century Gothic" w:cs="Segoe UI"/>
          <w:lang w:eastAsia="es-CO"/>
        </w:rPr>
        <w:t>. Las entidades responsables del cálculo actuarial de los pasivos pensionales de las entidades públicas del nivel nacional liquidadas presentarán al Ministerio de Hacienda y Crédito Público los cálculos actuariales que se requieran como resultado de las novedades a la nómina de pensionados y de cualquier otro derecho pensional o situación no recogidos en el cálculo actuarial aprobado. Esta obligación deberá cumplirse los primeros quince (15) días de cada año. Quienes tengan a su cargo la gestión de los derechos pensionales o su pago no podrán abstenerse de llevar a cabo las actividades que les corresponden argumentando la falta de aprobación del cálculo actuarial.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Cuentas maestras</w:t>
      </w:r>
      <w:r w:rsidRPr="00BC5DA9">
        <w:rPr>
          <w:rFonts w:ascii="Century Gothic" w:eastAsia="Times New Roman" w:hAnsi="Century Gothic" w:cs="Segoe UI"/>
          <w:lang w:eastAsia="es-CO"/>
        </w:rPr>
        <w:t>. Los recursos del Sistema General de Participaciones se manejarán a través de cuentas bancarias debidamente registradas que solo acepten operaciones de débitos por transferencia electrónica a aquellas cuentas bancarias que pertenecen a beneficiarios naturales o jurídicos identificados formalmente como receptores de estos recursos.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apertura de las cuentas maestras por parte de las entidades territoriales se efectuará conforme la metodología que para el efecto determine cada ministerio Sectorial que gira los recursos.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saldos excedentes de estas cuentas se destinarán a los usos previstos legalmente para estos recursos en cada sector.</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Recursos para la estructuración de proyectos</w:t>
      </w:r>
      <w:r w:rsidRPr="00BC5DA9">
        <w:rPr>
          <w:rFonts w:ascii="Century Gothic" w:eastAsia="Times New Roman" w:hAnsi="Century Gothic" w:cs="Segoe UI"/>
          <w:lang w:eastAsia="es-CO"/>
        </w:rPr>
        <w:t>. Modifíquese el artículo 51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Artículo 51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b/>
          <w:bCs/>
          <w:i/>
          <w:iCs/>
          <w:lang w:eastAsia="es-CO"/>
        </w:rPr>
        <w:t>Recursos para la estructuración de proyectos</w:t>
      </w:r>
      <w:r w:rsidRPr="00BC5DA9">
        <w:rPr>
          <w:rFonts w:ascii="Century Gothic" w:eastAsia="Times New Roman" w:hAnsi="Century Gothic" w:cs="Segoe UI"/>
          <w:b/>
          <w:bCs/>
          <w:lang w:eastAsia="es-CO"/>
        </w:rPr>
        <w:t xml:space="preserve">. </w:t>
      </w:r>
      <w:r w:rsidRPr="00BC5DA9">
        <w:rPr>
          <w:rFonts w:ascii="Century Gothic" w:eastAsia="Times New Roman" w:hAnsi="Century Gothic" w:cs="Segoe UI"/>
          <w:lang w:eastAsia="es-CO"/>
        </w:rPr>
        <w:t xml:space="preserve">La Nación y sus entidades descentralizadas podrán destinar y asignar recursos para financiar la realización de estudios de identificación, </w:t>
      </w:r>
      <w:proofErr w:type="spellStart"/>
      <w:r w:rsidRPr="00BC5DA9">
        <w:rPr>
          <w:rFonts w:ascii="Century Gothic" w:eastAsia="Times New Roman" w:hAnsi="Century Gothic" w:cs="Segoe UI"/>
          <w:lang w:eastAsia="es-CO"/>
        </w:rPr>
        <w:t>preinversión</w:t>
      </w:r>
      <w:proofErr w:type="spellEnd"/>
      <w:r w:rsidRPr="00BC5DA9">
        <w:rPr>
          <w:rFonts w:ascii="Century Gothic" w:eastAsia="Times New Roman" w:hAnsi="Century Gothic" w:cs="Segoe UI"/>
          <w:lang w:eastAsia="es-CO"/>
        </w:rPr>
        <w:t xml:space="preserve"> y estructuración de proyectos de carácter estratégico, del orden nacional y territorial necesarios para dar cumplimiento al presente Plan Nacional de Desarrollo. Estos podrán ser canalizados a través de entidades públicas de carácter financiero del orden nacional definidas por el Departamento Nacional de Planeación, de reconocida capacidad técnica, administrativa y operativa, y administrados en coordinación con las entidades correspondientes.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entidades financieras podrán gestionar recursos públicos o privados de carácter complementario, en beneficio de las regiones, que permitan cofinanciar los estudios a que se refiere esta norma”.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Obligaciones territoriales en atención a víctimas. </w:t>
      </w:r>
      <w:r w:rsidRPr="00BC5DA9">
        <w:rPr>
          <w:rFonts w:ascii="Century Gothic" w:eastAsia="Times New Roman" w:hAnsi="Century Gothic" w:cs="Segoe UI"/>
          <w:lang w:eastAsia="es-CO"/>
        </w:rPr>
        <w:t xml:space="preserve">Las inversiones realizadas con recursos propios de las entidades territoriales en asistencia, atención y reparación integral a las víctimas, debidamente certificadas por las autoridades competentes, se tendrán como parte de pago proporcional de sus obligaciones adquiridas con cargo a los fondos de cofinanciación administrados por </w:t>
      </w:r>
      <w:proofErr w:type="spellStart"/>
      <w:r w:rsidRPr="00BC5DA9">
        <w:rPr>
          <w:rFonts w:ascii="Century Gothic" w:eastAsia="Times New Roman" w:hAnsi="Century Gothic" w:cs="Segoe UI"/>
          <w:lang w:eastAsia="es-CO"/>
        </w:rPr>
        <w:t>Findeter</w:t>
      </w:r>
      <w:proofErr w:type="spellEnd"/>
      <w:r w:rsidRPr="00BC5DA9">
        <w:rPr>
          <w:rFonts w:ascii="Century Gothic" w:eastAsia="Times New Roman" w:hAnsi="Century Gothic" w:cs="Segoe UI"/>
          <w:lang w:eastAsia="es-CO"/>
        </w:rPr>
        <w:t xml:space="preserve"> y cobradas coactivamente por dicha institución.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Registro Único Nacional de Entidades Operadores de Libranza</w:t>
      </w:r>
      <w:r w:rsidRPr="00BC5DA9">
        <w:rPr>
          <w:rFonts w:ascii="Century Gothic" w:eastAsia="Times New Roman" w:hAnsi="Century Gothic" w:cs="Segoe UI"/>
          <w:lang w:eastAsia="es-CO"/>
        </w:rPr>
        <w:t>. Las cajas de compensación serán entidades operadoras de libranzas. El Registro Único Nacional de Entidades Operadores de Libranzas de que trata el artículo 14 de la Ley 1527 de 2012 será administrado por las Cámaras de Comercio, quienes lo publicarán en la página web institucional con el fin exclusivo de permitir el acceso a cualquier persona que desee constatar el registro de entidades operadoras, así mismo, tendrán la obligación de establecer un vínculo de acceso a las tasas comparativas publicadas por las Superintendencias, en desarrollo de lo dispuesto en el artículo 9° de la mencionada ley de libranzas.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Los costos de administración de este registro se financiarán con una contraprestación a cargo de quien solicite el registro y a favor del administrador, la cual será determinada por el Ministerio de Hacienda y Crédito Público, tomando como referencia los costos de administración e inversión necesarios para la puesta en operación, mantenimiento y continuidad del servicio. El monto de esta contraprestación será actualizado anualmente.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transitorio.</w:t>
      </w:r>
      <w:r w:rsidRPr="00BC5DA9">
        <w:rPr>
          <w:rFonts w:ascii="Century Gothic" w:eastAsia="Times New Roman" w:hAnsi="Century Gothic" w:cs="Segoe UI"/>
          <w:lang w:eastAsia="es-CO"/>
        </w:rPr>
        <w:t xml:space="preserve"> Dentro de los tres (3) meses siguientes a la entrada en vigencia de la presente ley, el Ministerio de Hacienda y Crédito Público transferirá la información a las Cámaras de Comercio para la administración del Registro Único Nacional de Entidades Operadoras de Libranza.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Durante el proceso de transferencia se suspenderá el funcionamiento del Registro Único Nacional de Entidades Operadoras de Libranza y no podrá exigirse al empleador o entidad pagadora el cumplimiento de la obligación de verificación de la inscripción de la entidad operadora en el Registro Único Nacional de Entidades Operadoras de Libranza, por tanto, no se le podrá imputar responsabilidad solidaria en el pago de la obligación adquirida por el beneficiario del crédito. A las entidades operadoras de libranza ya registradas ante el Ministerio de Hacienda y Crédito Público a las que se les venza el Registro Único de Entidades Operadoras de Libranza (</w:t>
      </w:r>
      <w:proofErr w:type="spellStart"/>
      <w:r w:rsidRPr="00BC5DA9">
        <w:rPr>
          <w:rFonts w:ascii="Century Gothic" w:eastAsia="Times New Roman" w:hAnsi="Century Gothic" w:cs="Segoe UI"/>
          <w:lang w:eastAsia="es-CO"/>
        </w:rPr>
        <w:t>Runeol</w:t>
      </w:r>
      <w:proofErr w:type="spellEnd"/>
      <w:r w:rsidRPr="00BC5DA9">
        <w:rPr>
          <w:rFonts w:ascii="Century Gothic" w:eastAsia="Times New Roman" w:hAnsi="Century Gothic" w:cs="Segoe UI"/>
          <w:lang w:eastAsia="es-CO"/>
        </w:rPr>
        <w:t>) durante los tres (3) meses consagrados en este parágrafo, se les extiende la vigencia del registro por un término igual al mencionado. Estas entidades deberán realizar la renovación ante las Cámaras de Comercio dentro de los ocho (8) días siguientes al vencimiento de esta extensión.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Artículo 144.</w:t>
      </w:r>
      <w:r w:rsidRPr="00BC5DA9">
        <w:rPr>
          <w:rFonts w:ascii="Century Gothic" w:eastAsia="Times New Roman" w:hAnsi="Century Gothic" w:cs="Segoe UI"/>
          <w:lang w:eastAsia="es-CO"/>
        </w:rPr>
        <w:t xml:space="preserve"> </w:t>
      </w:r>
      <w:proofErr w:type="spellStart"/>
      <w:r w:rsidRPr="00BC5DA9">
        <w:rPr>
          <w:rFonts w:ascii="Century Gothic" w:eastAsia="Times New Roman" w:hAnsi="Century Gothic" w:cs="Segoe UI"/>
          <w:i/>
          <w:iCs/>
          <w:lang w:eastAsia="es-CO"/>
        </w:rPr>
        <w:t>Fondes</w:t>
      </w:r>
      <w:proofErr w:type="spellEnd"/>
      <w:r w:rsidRPr="00BC5DA9">
        <w:rPr>
          <w:rFonts w:ascii="Century Gothic" w:eastAsia="Times New Roman" w:hAnsi="Century Gothic" w:cs="Segoe UI"/>
          <w:lang w:eastAsia="es-CO"/>
        </w:rPr>
        <w:t>. El Fondo Nacional para el Desarrollo de la Infraestructura (</w:t>
      </w:r>
      <w:proofErr w:type="spellStart"/>
      <w:r w:rsidRPr="00BC5DA9">
        <w:rPr>
          <w:rFonts w:ascii="Century Gothic" w:eastAsia="Times New Roman" w:hAnsi="Century Gothic" w:cs="Segoe UI"/>
          <w:lang w:eastAsia="es-CO"/>
        </w:rPr>
        <w:t>Fondes</w:t>
      </w:r>
      <w:proofErr w:type="spellEnd"/>
      <w:r w:rsidRPr="00BC5DA9">
        <w:rPr>
          <w:rFonts w:ascii="Century Gothic" w:eastAsia="Times New Roman" w:hAnsi="Century Gothic" w:cs="Segoe UI"/>
          <w:lang w:eastAsia="es-CO"/>
        </w:rPr>
        <w:t>), será administrado por la Financiera de Desarrollo Nacional y/o la entidad que defina el Gobierno nacional, de conformidad con la reglamentación expedida para el efecto y en los términos del contrato que se suscriba.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El objeto del </w:t>
      </w:r>
      <w:proofErr w:type="spellStart"/>
      <w:r w:rsidRPr="00BC5DA9">
        <w:rPr>
          <w:rFonts w:ascii="Century Gothic" w:eastAsia="Times New Roman" w:hAnsi="Century Gothic" w:cs="Segoe UI"/>
          <w:lang w:eastAsia="es-CO"/>
        </w:rPr>
        <w:t>Fondes</w:t>
      </w:r>
      <w:proofErr w:type="spellEnd"/>
      <w:r w:rsidRPr="00BC5DA9">
        <w:rPr>
          <w:rFonts w:ascii="Century Gothic" w:eastAsia="Times New Roman" w:hAnsi="Century Gothic" w:cs="Segoe UI"/>
          <w:lang w:eastAsia="es-CO"/>
        </w:rPr>
        <w:t xml:space="preserve"> será la inversión y financiamiento de proyectos de infraestructura y su patrimonio estará constituido, entre otras, por las siguientes fuentes: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Cuando el Gobierno nacional lo defina, los recursos producto de la enajenación de la participación accionaria de la Nación, recibidos en virtud de un proceso regulado por la Ley 226 de 1995;</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b) Los rendimientos que genere el Fondo;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 Los recursos que obtenga el fondo a través de sus propias operaciones de crédito público y de tesorería;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d) Los demás recursos que se dispongan para el efecto.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El Gobierno nacional reglamentará la administración y funcionamiento del </w:t>
      </w:r>
      <w:proofErr w:type="spellStart"/>
      <w:r w:rsidRPr="00BC5DA9">
        <w:rPr>
          <w:rFonts w:ascii="Century Gothic" w:eastAsia="Times New Roman" w:hAnsi="Century Gothic" w:cs="Segoe UI"/>
          <w:lang w:eastAsia="es-CO"/>
        </w:rPr>
        <w:t>Fondes</w:t>
      </w:r>
      <w:proofErr w:type="spellEnd"/>
      <w:r w:rsidRPr="00BC5DA9">
        <w:rPr>
          <w:rFonts w:ascii="Century Gothic" w:eastAsia="Times New Roman" w:hAnsi="Century Gothic" w:cs="Segoe UI"/>
          <w:lang w:eastAsia="es-CO"/>
        </w:rPr>
        <w:t>, así como los demás asuntos necesarios para su financiamiento y el cabal cumplimiento de su objeto, sin perjuicio del cumplimiento de lo dispuesto por el artículo 124 del Estatuto Orgánico del Presupuesto.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Los recursos resultantes de la enajenación de la participación accionaria de la Nación señalados en este artículo, mientras se incorporan al Presupuesto General de la Nación, se mantendrán en una cuenta especial e independiente administrada por el Tesoro Nacional. El Gobierno nacional reglamentará el procedimiento por el que se decidirán los términos y plazos en que los recursos de esta cuenta especial serán incorporados en el Presupuesto General de la Nación, así como la transferencia de los mimos del Tesoro Nacional a los administradores.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Operaciones de crédito público</w:t>
      </w:r>
      <w:r w:rsidRPr="00BC5DA9">
        <w:rPr>
          <w:rFonts w:ascii="Century Gothic" w:eastAsia="Times New Roman" w:hAnsi="Century Gothic" w:cs="Segoe UI"/>
          <w:lang w:eastAsia="es-CO"/>
        </w:rPr>
        <w:t xml:space="preserve">. Las operaciones de crédito público y </w:t>
      </w:r>
      <w:proofErr w:type="gramStart"/>
      <w:r w:rsidRPr="00BC5DA9">
        <w:rPr>
          <w:rFonts w:ascii="Century Gothic" w:eastAsia="Times New Roman" w:hAnsi="Century Gothic" w:cs="Segoe UI"/>
          <w:lang w:eastAsia="es-CO"/>
        </w:rPr>
        <w:t>asimiladas</w:t>
      </w:r>
      <w:proofErr w:type="gramEnd"/>
      <w:r w:rsidRPr="00BC5DA9">
        <w:rPr>
          <w:rFonts w:ascii="Century Gothic" w:eastAsia="Times New Roman" w:hAnsi="Century Gothic" w:cs="Segoe UI"/>
          <w:lang w:eastAsia="es-CO"/>
        </w:rPr>
        <w:t xml:space="preserve"> cuyo objeto no comprenda el financiamiento de gastos de inversión no requerirán concepto del Departamento Nacional de Planeación para su celebración, sin perjuicio del cumplimiento de los demás requisitos dispuestos para su contratación, incluido, cuando aplique, el concepto favorable de la Comisión Interparlamentaria de Crédito Público. El Departamento Nacional de Planeación será el coordinador técnico de los créditos de libre destinación de la Nación.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Sin perjuicio de lo dispuesto por el parágrafo 2° del artículo 41 de la Ley 80 de 1993, en general se entiende como operación de crédito público, cualquier operación que tenga como fin la financiación de la entidad estatal para la adquisición de bienes o servicios.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Parágrafo 2°.</w:t>
      </w:r>
      <w:r w:rsidRPr="00BC5DA9">
        <w:rPr>
          <w:rFonts w:ascii="Century Gothic" w:eastAsia="Times New Roman" w:hAnsi="Century Gothic" w:cs="Segoe UI"/>
          <w:lang w:eastAsia="es-CO"/>
        </w:rPr>
        <w:t xml:space="preserve"> Dada la naturaleza dineraria de las operaciones de crédito público, en los casos en que una entidad estatal sea acreedora, no serán aplicables las disposiciones del artículo 86 de la Ley 1474 de 2011.</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Transferencia temporal de valores para fortalecer el mercado de deuda pública. </w:t>
      </w:r>
      <w:r w:rsidRPr="00BC5DA9">
        <w:rPr>
          <w:rFonts w:ascii="Century Gothic" w:eastAsia="Times New Roman" w:hAnsi="Century Gothic" w:cs="Segoe UI"/>
          <w:lang w:eastAsia="es-CO"/>
        </w:rPr>
        <w:t>Adiciónese el siguiente inciso al literal b) del artículo 6° de la Ley 51 de 1990, así:</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“Se autoriza al Gobierno nacional para emitir, colocar y mantener en circulación Títulos de Tesorería TES para efectuar Operaciones de Transferencia Temporal de Valores. El Gobierno nacional reglamentará las condiciones generales para la realización de las operaciones de Transferencia Temporal de Valores. Los recursos provenientes de dichas colocaciones, no podrán utilizarse para financiar apropiaciones del Presupuesto General de la Nación.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Banco de la República podrá administrar estos títulos, incluyendo la realización de operaciones de Transferencia Temporal de Valores, en los términos y condiciones que autorice su Junta Directiva”.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Financiación del pasivo pensional del Sector Salud con recursos del </w:t>
      </w:r>
      <w:proofErr w:type="spellStart"/>
      <w:r w:rsidRPr="00BC5DA9">
        <w:rPr>
          <w:rFonts w:ascii="Century Gothic" w:eastAsia="Times New Roman" w:hAnsi="Century Gothic" w:cs="Segoe UI"/>
          <w:i/>
          <w:iCs/>
          <w:lang w:eastAsia="es-CO"/>
        </w:rPr>
        <w:t>Fonpet</w:t>
      </w:r>
      <w:proofErr w:type="spellEnd"/>
      <w:r w:rsidRPr="00BC5DA9">
        <w:rPr>
          <w:rFonts w:ascii="Century Gothic" w:eastAsia="Times New Roman" w:hAnsi="Century Gothic" w:cs="Segoe UI"/>
          <w:i/>
          <w:iCs/>
          <w:lang w:eastAsia="es-CO"/>
        </w:rPr>
        <w:t xml:space="preserve"> y destinación de excedentes</w:t>
      </w:r>
      <w:r w:rsidRPr="00BC5DA9">
        <w:rPr>
          <w:rFonts w:ascii="Century Gothic" w:eastAsia="Times New Roman" w:hAnsi="Century Gothic" w:cs="Segoe UI"/>
          <w:lang w:eastAsia="es-CO"/>
        </w:rPr>
        <w:t>. Las entidades territoriales utilizarán los recursos acumulados en el Fondo de Pensiones Territoriales (</w:t>
      </w:r>
      <w:proofErr w:type="spellStart"/>
      <w:r w:rsidRPr="00BC5DA9">
        <w:rPr>
          <w:rFonts w:ascii="Century Gothic" w:eastAsia="Times New Roman" w:hAnsi="Century Gothic" w:cs="Segoe UI"/>
          <w:lang w:eastAsia="es-CO"/>
        </w:rPr>
        <w:t>Fonpet</w:t>
      </w:r>
      <w:proofErr w:type="spellEnd"/>
      <w:r w:rsidRPr="00BC5DA9">
        <w:rPr>
          <w:rFonts w:ascii="Century Gothic" w:eastAsia="Times New Roman" w:hAnsi="Century Gothic" w:cs="Segoe UI"/>
          <w:lang w:eastAsia="es-CO"/>
        </w:rPr>
        <w:t>) abonados en el sector salud como fuente de financiación del pasivo pensional de dicho sector. En tal sentido, se podrán atender las obligaciones pensionales establecidas en los contratos de concurrencia y las no incorporadas en dichos contratos siempre que su financiación se encuentre a cargo de las respectiva entidad territorial, incluidas las correspondientes al pago de mesadas pensionales, bonos pensionales, cuotas partes de bonos pensionales y cuotas partes pensionales.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Así mismo, la entidad territorial podrá utilizar los recursos acumulados en el </w:t>
      </w:r>
      <w:proofErr w:type="spellStart"/>
      <w:r w:rsidRPr="00BC5DA9">
        <w:rPr>
          <w:rFonts w:ascii="Century Gothic" w:eastAsia="Times New Roman" w:hAnsi="Century Gothic" w:cs="Segoe UI"/>
          <w:lang w:eastAsia="es-CO"/>
        </w:rPr>
        <w:t>Fonpet</w:t>
      </w:r>
      <w:proofErr w:type="spellEnd"/>
      <w:r w:rsidRPr="00BC5DA9">
        <w:rPr>
          <w:rFonts w:ascii="Century Gothic" w:eastAsia="Times New Roman" w:hAnsi="Century Gothic" w:cs="Segoe UI"/>
          <w:lang w:eastAsia="es-CO"/>
        </w:rPr>
        <w:t xml:space="preserve"> para el pago del pasivo pensional del sector salud de aquellas personas que no fueron certificadas como beneficiarias de los contratos de concurrencia, siempre y cuando decidan asumirlo como pasivo propio. Para el efecto, se registrarán en el </w:t>
      </w:r>
      <w:proofErr w:type="spellStart"/>
      <w:r w:rsidRPr="00BC5DA9">
        <w:rPr>
          <w:rFonts w:ascii="Century Gothic" w:eastAsia="Times New Roman" w:hAnsi="Century Gothic" w:cs="Segoe UI"/>
          <w:lang w:eastAsia="es-CO"/>
        </w:rPr>
        <w:t>Fonpet</w:t>
      </w:r>
      <w:proofErr w:type="spellEnd"/>
      <w:r w:rsidRPr="00BC5DA9">
        <w:rPr>
          <w:rFonts w:ascii="Century Gothic" w:eastAsia="Times New Roman" w:hAnsi="Century Gothic" w:cs="Segoe UI"/>
          <w:lang w:eastAsia="es-CO"/>
        </w:rPr>
        <w:t xml:space="preserve"> tanto las obligaciones de las entidades territoriales para financiar los contratos de concurrencia como aquellas correspondientes a otras obligaciones pensionales del sector salud cuya financiación asuma la entidad territorial. El valor máximo que se podrá utilizar corresponderá al valor acumulado a 31 de diciembre de la vigencia inmediatamente anterior en el </w:t>
      </w:r>
      <w:proofErr w:type="spellStart"/>
      <w:r w:rsidRPr="00BC5DA9">
        <w:rPr>
          <w:rFonts w:ascii="Century Gothic" w:eastAsia="Times New Roman" w:hAnsi="Century Gothic" w:cs="Segoe UI"/>
          <w:lang w:eastAsia="es-CO"/>
        </w:rPr>
        <w:t>Fonpet</w:t>
      </w:r>
      <w:proofErr w:type="spellEnd"/>
      <w:r w:rsidRPr="00BC5DA9">
        <w:rPr>
          <w:rFonts w:ascii="Century Gothic" w:eastAsia="Times New Roman" w:hAnsi="Century Gothic" w:cs="Segoe UI"/>
          <w:lang w:eastAsia="es-CO"/>
        </w:rPr>
        <w:t xml:space="preserve"> por el sector salud.</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Cuando la entidad territorial no presente obligaciones pensionales pendientes por concepto del pasivo pensional con el sector salud o cuando estén plenamente financiadas, los recursos acumulados en el </w:t>
      </w:r>
      <w:proofErr w:type="spellStart"/>
      <w:r w:rsidRPr="00BC5DA9">
        <w:rPr>
          <w:rFonts w:ascii="Century Gothic" w:eastAsia="Times New Roman" w:hAnsi="Century Gothic" w:cs="Segoe UI"/>
          <w:lang w:eastAsia="es-CO"/>
        </w:rPr>
        <w:t>Fonpet</w:t>
      </w:r>
      <w:proofErr w:type="spellEnd"/>
      <w:r w:rsidRPr="00BC5DA9">
        <w:rPr>
          <w:rFonts w:ascii="Century Gothic" w:eastAsia="Times New Roman" w:hAnsi="Century Gothic" w:cs="Segoe UI"/>
          <w:lang w:eastAsia="es-CO"/>
        </w:rPr>
        <w:t xml:space="preserve"> abonados en dicho sector, diferentes a los de Loto en línea, se destinarán exclusivamente para el financiamiento del régimen subsidiado. El Ministerio de Hacienda y Crédito Público reglamentará el procedimiento para la transferencia de estos recursos al mecanismo único de recaudo y giro de que trata el artículo 31 de la Ley 1438 de 2011 o a quien haga sus veces.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A partir de la presente ley el monto del impuesto de registro de que trata el artículo 25 de la Ley 1450 de 2011 será destinado por las entidades territoriales para el pago de cuotas partes pensionales y de mesadas pensionales. El valor que no se necesite para el pago de dichas obligaciones será de libre destinación.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Las entidades territoriales que alcancen el cubrimiento del pasivo pensional en los términos del marco jurídico vigente, destinarán los recursos excedentes en el </w:t>
      </w:r>
      <w:proofErr w:type="spellStart"/>
      <w:r w:rsidRPr="00BC5DA9">
        <w:rPr>
          <w:rFonts w:ascii="Century Gothic" w:eastAsia="Times New Roman" w:hAnsi="Century Gothic" w:cs="Segoe UI"/>
          <w:lang w:eastAsia="es-CO"/>
        </w:rPr>
        <w:t>Fonpet</w:t>
      </w:r>
      <w:proofErr w:type="spellEnd"/>
      <w:r w:rsidRPr="00BC5DA9">
        <w:rPr>
          <w:rFonts w:ascii="Century Gothic" w:eastAsia="Times New Roman" w:hAnsi="Century Gothic" w:cs="Segoe UI"/>
          <w:lang w:eastAsia="es-CO"/>
        </w:rPr>
        <w:t>, para la financiación de proyectos de inversión y atenderá la destinación específica de la fuente de que provengan estos recursos.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Para los efectos del artículo 25 de la ley 1450 de 2011, se entiende por gastos administrativos los necesario para la operación administrativa y financiera del fondo.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Orientación de la inversión a resultados. </w:t>
      </w:r>
      <w:r w:rsidRPr="00BC5DA9">
        <w:rPr>
          <w:rFonts w:ascii="Century Gothic" w:eastAsia="Times New Roman" w:hAnsi="Century Gothic" w:cs="Segoe UI"/>
          <w:lang w:eastAsia="es-CO"/>
        </w:rPr>
        <w:t>La orientación de la inversión a resultados es una técnica presupuestal que promueve el uso eficiente y transparente de los recursos de inversión, permite alinear los objetivos y prioridades definidos en el Plan Nacional de Desarrollo con el Plan Plurianual de Inversiones y hace posible establecer una relación directa entre el gasto y los bienes y servicios entregados a la ciudadanía. La Nación adoptará, entre otras, esta técnica como uno de los instrumentos de gestión de la inversión pública y promoverá su adopción por las entidades territoriales.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clasificación programática de la inversión pública de la Nación reflejará los programas definidos en el Plan Plurianual de Inversiones los cuales deberán ser compatibles con aquellos establecidos para el Presupuesto General de la Nación. Para el efecto, los órganos que haden parte del Presupuesto General de la Nación deberán formular o reformular lo programas de inversión de acuerdo con las metodologías que establezca el Departamento Nacional de Planeación.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 Nación promoverá y apoyará a las entidades territoriales para que adopten las líneas programáticas indicativas para la inversión.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Con el propósito de articular y consolidar las diferentes fuentes de financiación de la inversión pública, las entidades territoriales, a más tardar el 1° de enero de 2017, deberán registrar la información de la inversión conforme a los lineamientos que determine el Departamento Nacional de Planeación.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149.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Administración eficiente de recursos públicos. </w:t>
      </w:r>
      <w:r w:rsidRPr="00BC5DA9">
        <w:rPr>
          <w:rFonts w:ascii="Century Gothic" w:eastAsia="Times New Roman" w:hAnsi="Century Gothic" w:cs="Segoe UI"/>
          <w:lang w:eastAsia="es-CO"/>
        </w:rPr>
        <w:t xml:space="preserve">Los recursos provenientes del Presupuesto General de la Nación transferidos a entidades financieras, no podrán tener como objeto proveerlas de fondos, sino atender los compromisos y obligaciones en desarrollo de las apropiaciones presupuestales. Los saldos de recursos girados a convenios de cofinanciación o negocios fiduciarios que tengan como fuente el Presupuesto General de la Nación y en donde la entidad estatal giradora sea fideicomitente y/o beneficiaria, entre ellos a patrimonios autónomos, serán registrados a favor de la Nación, con excepción de aquellos que correspondan a proyectos de agua potable y saneamiento </w:t>
      </w:r>
      <w:r w:rsidRPr="00BC5DA9">
        <w:rPr>
          <w:rFonts w:ascii="Century Gothic" w:eastAsia="Times New Roman" w:hAnsi="Century Gothic" w:cs="Segoe UI"/>
          <w:lang w:eastAsia="es-CO"/>
        </w:rPr>
        <w:lastRenderedPageBreak/>
        <w:t>básico, y los recursos de previsión, seguridad social que administren prestaciones sociales de carácter económico y en donde se administren rentas parafiscales. Los excedentes de liquidez de dichos convenios y negocios fiduciarios serán invertidos conforme al marco legal aplicable a su forma de administración y a la naturaleza de los recursos.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los negocios fiduciarios instrumentados para el pago de obligaciones futuras, los cronogramas de giros deberán ser consistentes con el avance del cumplimiento de su objeto. El Tesoro Nacional podrá exigir el reintegro de los recursos que haya transferido a un patrimonio autónomo y que no se hayan utilizado en la adquisición de bienes o servicios dentro del año siguiente al momento del giro, siempre que ello no conlleve el incumplimiento contractual. Los recursos reintegrados serán administrados por el Tesoro Nacional, hasta que vuelvan a ser requeridos para gastos referentes al cumplimiento del objeto de estos patrimonios por lo cual el reintegro no afectará las obligaciones que deba cumplir el patrimonio autónomo, ni la capacidad de pago. Dicho reintegro y su posterior devolución no implicarán operación presupuestal alguna.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Además de lo dispuesto en el artículo 261 de la Ley 1450 de 2011 en los incisos primero y segundo, las entidades estatales del orden nacional que administren contribuciones parafiscales y los órganos de previsión y seguridad social que administren prestaciones sociales de carácter económico, podrán formar parte del Sistema de Cuenta Única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El Tesoro Nacional podrá renovar los plazos de los créditos extraordinarios de tesorería que hayan sido otorgados a los fondos administrados por la Dirección General de Crédito Público y Tesoro 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Sistemas de compensación para modernizar las operaciones del tesoro nacional. </w:t>
      </w:r>
      <w:r w:rsidRPr="00BC5DA9">
        <w:rPr>
          <w:rFonts w:ascii="Century Gothic" w:eastAsia="Times New Roman" w:hAnsi="Century Gothic" w:cs="Segoe UI"/>
          <w:lang w:eastAsia="es-CO"/>
        </w:rPr>
        <w:t>Además de las operaciones de Tesorería facultadas a través del artículo 11 de la Ley 1737 de 2014, el Tesoro Nacional podrá constituir garantías o compromisos de pago a favor de un sistema de compensación y liquidación de operaciones, en los términos del artículo 11 de la Ley 964 de 2005, o cualquier norma que lo modifique o sustituya, siempre y cuando las mismas estén afectas al cumplimiento de sus propias operaciones y no de terceros.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Aportes al fideicomiso para el crecimiento y la reducción de la pobreza del Fondo Monetario Internacional</w:t>
      </w:r>
      <w:r w:rsidRPr="00BC5DA9">
        <w:rPr>
          <w:rFonts w:ascii="Century Gothic" w:eastAsia="Times New Roman" w:hAnsi="Century Gothic" w:cs="Segoe UI"/>
          <w:lang w:eastAsia="es-CO"/>
        </w:rPr>
        <w:t>. Se autoriza al Ministerio de Hacienda y Crédito Público y al Ministerio de Relaciones Exteriores, para realizar los aportes al fideicomiso para el crecimiento y la reducción de la pobreza del Fondo Monetario Internacional.</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Custodia de oro por el Banco de la República</w:t>
      </w:r>
      <w:r w:rsidRPr="00BC5DA9">
        <w:rPr>
          <w:rFonts w:ascii="Century Gothic" w:eastAsia="Times New Roman" w:hAnsi="Century Gothic" w:cs="Segoe UI"/>
          <w:lang w:eastAsia="es-CO"/>
        </w:rPr>
        <w:t>. Cuando se apliquen medidas cautelares de carácter real sobre oro, plata, platino o divisas, tanto en procesos de índole administrativo como judicial, la autoridad competente ordenará ponerlas a disposición de la Sociedad de Activos Especiales S.A.S. (SAE) o del Fondo Especial para la Administración de Bienes de la Fiscalía General de la Nación, según corresponda, para su administración en los términos de ley.</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La Sociedad de Activos Especiales S.A.S. (SAE) y el Fondo Especial para la Administración de Bienes de la Fiscalía General de la Nación, constituirán con el Banco de la República la custodia de estos activos. Para el caso de divisas, su administración se realizará de acuerdo al convenio que celebre para tal fin el Banco de la República o con los intermediarios del mercado cambiario autorizados, con miras a su enajenación.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Presupuesto de la Unidad Administrativa Especial de Planeación Minero-Energética (UPME). </w:t>
      </w:r>
      <w:r w:rsidRPr="00BC5DA9">
        <w:rPr>
          <w:rFonts w:ascii="Century Gothic" w:eastAsia="Times New Roman" w:hAnsi="Century Gothic" w:cs="Segoe UI"/>
          <w:lang w:eastAsia="es-CO"/>
        </w:rPr>
        <w:t>A partir de la vigencia 2016, el porcentaje del presupuesto de la Unidad Administrativa Especial de Planeación Minero Energética (UPME) asumido por la Financiera de Desarrollo Nacional (FDN), antes Financiera Energética Nacional (FEN), será sufragado a través del presupuesto de la Nación - Ministerio de Minas y Energía o quien haga sus veces. En lo demás, la composición de los ingresos que conforman el presupuesto de la UPME no presentará variación.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154.</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Compra de energía</w:t>
      </w:r>
      <w:r w:rsidRPr="00BC5DA9">
        <w:rPr>
          <w:rFonts w:ascii="Century Gothic" w:eastAsia="Times New Roman" w:hAnsi="Century Gothic" w:cs="Segoe UI"/>
          <w:lang w:eastAsia="es-CO"/>
        </w:rPr>
        <w:t xml:space="preserve">. Las empresas generadoras, transmisoras, distribuidoras y comercializadoras de energía podrán contratar, en cualquier tiempo, compras de energía de largo plazo, comprometiendo presupuesto con cargo a vigencias futuras que superen el respectivo período de gobierno, previa autorización del </w:t>
      </w:r>
      <w:proofErr w:type="spellStart"/>
      <w:r w:rsidRPr="00BC5DA9">
        <w:rPr>
          <w:rFonts w:ascii="Century Gothic" w:eastAsia="Times New Roman" w:hAnsi="Century Gothic" w:cs="Segoe UI"/>
          <w:lang w:eastAsia="es-CO"/>
        </w:rPr>
        <w:t>Confis</w:t>
      </w:r>
      <w:proofErr w:type="spellEnd"/>
      <w:r w:rsidRPr="00BC5DA9">
        <w:rPr>
          <w:rFonts w:ascii="Century Gothic" w:eastAsia="Times New Roman" w:hAnsi="Century Gothic" w:cs="Segoe UI"/>
          <w:lang w:eastAsia="es-CO"/>
        </w:rPr>
        <w:t xml:space="preserve"> o de las Juntas Directivas, cuando esa función les sea delegada por tal organismo.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las Empresas Industriales y Comerciales del Estado y en las Sociedades de Economía Mixta que tengan régimen de Empresa Industrial y Comercial del Estado, los gastos relacionados con la adquisición de bienes y servicios necesarios para los procesos de producción, transformación y comercialización se clasificarán como proyectos de inversión.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Esta clasificación se entenderá estrictamente para efectos presupuestales y no contables. No se incluirán dentro de esta clasificación los gastos relacionados con la remuneración que se haga a la mano de obra independientemente de su forma de vinculación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155.</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Del Fondo Adaptación</w:t>
      </w:r>
      <w:r w:rsidRPr="00BC5DA9">
        <w:rPr>
          <w:rFonts w:ascii="Century Gothic" w:eastAsia="Times New Roman" w:hAnsi="Century Gothic" w:cs="Segoe UI"/>
          <w:lang w:eastAsia="es-CO"/>
        </w:rPr>
        <w:t>. El Fondo Adaptación, creado mediante Decreto-ley 4819 de 2010, hará parte del Sistema Nacional de Gestión del Riesgo de Desastres en los términos de la Ley 1523 de 2012.</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Los contratos para la construcción y reconstrucción necesarios para la superación de los efectos derivados de la ocurrencia de desastres naturales a cargo del Fondo Adaptación, y en general todos aquellos necesarios para la ejecución de estas actividades, se regirán por el derecho privado. Lo anterior, con plena observancia de lo dispuesto en el artículo 13 de la Ley 1150 de 2007, sin perjuicio de la facultad de incluir las cláusulas excepcionales a que se refieren los artículos 14 a 18 de la Ley 80 de 1993 y de aplicar lo dispuesto en el artículo 17 de la Ley 1150 de 2007. La excepción a la aplicación del Estatuto General de Contratación Pública para los contratos a que se refiere el presente inciso, estará vigente hasta el 31 de diciembre de 2018.</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Fondo Adaptación podrá estructurar y ejecutar proyectos integrales de reducción del riesgo y adaptación al cambio climático, en el marco del Sistema Nacional de Gestión del Riesgo de Desastres y en coordinación con los respectivos sectores, además de los que se deriven del fenómeno de la Niña 2010-2011, con el propósito de fortalecer las competencias del Sistema y contribuir a la reducción de la vulnerabilidad fiscal del Estado.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w:t>
      </w:r>
      <w:r w:rsidRPr="00BC5DA9">
        <w:rPr>
          <w:rFonts w:ascii="Century Gothic" w:eastAsia="Times New Roman" w:hAnsi="Century Gothic" w:cs="Segoe UI"/>
          <w:lang w:eastAsia="es-CO"/>
        </w:rPr>
        <w:t xml:space="preserve"> Será responsabilidad de las entidades del orden nacional y territorial beneficiarias de los proyectos a cargo del Fondo Adaptación, garantizar su sostenibilidad y la puesta en marcha de los mecanismos técnicos, financieros y operacionales necesarios para su adecuada implementación.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156.</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Saneamiento por motivos de utilidad pública</w:t>
      </w:r>
      <w:r w:rsidRPr="00BC5DA9">
        <w:rPr>
          <w:rFonts w:ascii="Century Gothic" w:eastAsia="Times New Roman" w:hAnsi="Century Gothic" w:cs="Segoe UI"/>
          <w:lang w:eastAsia="es-CO"/>
        </w:rPr>
        <w:t>. Sin perjuicio de lo dispuesto en el artículo 245 de la Ley 1450 de 2011, la adquisición de inmuebles realizada por entidades públicas con ocasión de la ejecución de proyectos de utilidad pública e interés social en lo que atañe al Fondo Adaptación, gozará en favor de la entidad que los adquiere del saneamiento automático respecto de cualquier vicio de forma o de fondo, medidas cautelares, gravámenes que afecten la libre disposición del derecho de propiedad y, en general, de cualquier vicio relativo a su titulación y tradición, incluso los que surjan con posterioridad al proceso de adquisición, sin perjuicio de las acciones indemnizatorias que por cualquier causa puedan dirigirse contra los titulares inscritos en el respectivo folio de matrícula inmobiliaria, diferentes a la entidad pública adquirente. El saneamiento automático será invocado por la entidad adquirente en el título de tradición del dominio y será objeto de registro en el folio de matrícula correspondiente.</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Ningún saneamiento automático implicará el levantamiento de servidumbres de utilidad pública frente a redes y activos, ni el desconocimiento de los derechos inmobiliarios que hayan sido previamente adquiridos para el establecimiento de la infraestructura de servicios públicos domiciliarios y actividades complementarias, tecnologías de la Información y las comunicaciones y la industria del petróleo.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Para la aplicación del mecanismo de saneamiento automático a que se refiere el presente artículo se dará aplicación a lo dispuesto en el parágrafo 2° del artículo 21 de la Ley 1682 de 2013, respecto de la verificación de la inscripción del inmueble objeto de saneamiento en el Registro de Tierras Despojadas y Abandonadas Forzosamente de la Ley 1448 de 2011, así como del procedimiento allí previsto para la adquisición de tales inmuebles. En los términos del artículo 72 de la Ley 1448 de 2011, en concordancia con lo dispuesto en el literal a) del numeral 1 del artículo 97 de la misma ley, sobre los inmuebles ubicados en zonas de alto riesgo, así como respecto de aquellos que serán destinados para la reubicación, en el marco de proyectos de reasentamiento por alto riesgo y/o desastres, se entenderá que existe imposibilidad jurídica para su restitución y en consecuencia se aplicará lo previsto en el parágrafo 2° del artículo 21 de la Ley 1682 de 2013 para estos casos.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Las entidades públicas en el marco de proyectos de reasentamiento por alto riesgo y/o, desastre, podrán adquirir la propiedad, posesión o mejoras de los inmuebles destinados a vivienda ubicados en estas zonas de alto riesgo y/o desastre, por vía de permuta por la solución habitacional ofrecida. En aquellos casos en que por las características del proyecto de reasentamiento no sea viable la adquisición prevista en el inciso anterior, el procedimiento para la adquisición de los predios y para la imposición de servidumbres requeridas para su desarrollo, será el previsto en el Título IV Capítulo I de la Ley 1682 de 2013, específicamente los artículos 22 a 38 de la misma o las normas que los modifiquen, adicionen o sustituyan.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157.</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Reasentamiento</w:t>
      </w:r>
      <w:r w:rsidRPr="00BC5DA9">
        <w:rPr>
          <w:rFonts w:ascii="Century Gothic" w:eastAsia="Times New Roman" w:hAnsi="Century Gothic" w:cs="Segoe UI"/>
          <w:lang w:eastAsia="es-CO"/>
        </w:rPr>
        <w:t>. Con el objeto de reducir el riesgo de desastres y mitigar el impacto de los ya ocurridos, las entidades públicas adelantarán procesos o planes de reasentamiento o reubicación mediante el traslado de la población ubicada en zonas de alto riesgo o de desastre a otro lugar en el que se les proporcione un nuevo hábitat.</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entidades públicas en el marzo de procesos de reasentamiento o reubicación de población y atendiendo a las características que les hayan dado origen, adelantarán en las condiciones que señale el reglamento, una o varias de las siguientes acciones, provisión temporal de una solución de alojamiento; la adquisición de los predios ubicados en zona de alto riesgo o de desastre; la asesoría y formulación de un programa de vivienda para su reubicación de adquisición de la nueva alternativa o solución habitacional; la asignación otorgamiento del Valor Único de Reconocimiento, cuando a este hubiere lugar o la adquisición del inmueble ubicado en zona de alto riesgo o de desastre por la vía de permuta por la nueva solución habitacional ofrecida; el acompañamiento a le población objeto de reasentamiento para que puedan acceder a la oferta pública preferente de servicios sociales en el nuevo hábitat y el desarrollo de programas de reactivación económica.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Estas acciones se adelantarán de manera conjunta por las entidades intervinientes en el proceso de reasentamiento, en atención a sus competencias y funcione específicas y a las características del proyecto sin perjuicio de las competencias obligaciones señaladas en el artículo 121 de la Ley 388 de 1997 en cabeza de alcaldes, gobernadores y autoridades ambientales del nivel territorial y de le necesaria corresponsabilidad de la población objeto de reasentamiento.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158.</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 xml:space="preserve">Administración de los recursos del </w:t>
      </w:r>
      <w:proofErr w:type="spellStart"/>
      <w:r w:rsidRPr="00BC5DA9">
        <w:rPr>
          <w:rFonts w:ascii="Century Gothic" w:eastAsia="Times New Roman" w:hAnsi="Century Gothic" w:cs="Segoe UI"/>
          <w:i/>
          <w:iCs/>
          <w:lang w:eastAsia="es-CO"/>
        </w:rPr>
        <w:t>Frisco</w:t>
      </w:r>
      <w:proofErr w:type="spellEnd"/>
      <w:r w:rsidRPr="00BC5DA9">
        <w:rPr>
          <w:rFonts w:ascii="Century Gothic" w:eastAsia="Times New Roman" w:hAnsi="Century Gothic" w:cs="Segoe UI"/>
          <w:lang w:eastAsia="es-CO"/>
        </w:rPr>
        <w:t>. Adiciónense dos incisos al artículo 91 de la Ley 1708 de 2014,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“Los bienes y recursos determinados en el presente artículo gozarán de le protección de </w:t>
      </w:r>
      <w:proofErr w:type="spellStart"/>
      <w:r w:rsidRPr="00BC5DA9">
        <w:rPr>
          <w:rFonts w:ascii="Century Gothic" w:eastAsia="Times New Roman" w:hAnsi="Century Gothic" w:cs="Segoe UI"/>
          <w:lang w:eastAsia="es-CO"/>
        </w:rPr>
        <w:t>inembargabilidad</w:t>
      </w:r>
      <w:proofErr w:type="spellEnd"/>
      <w:r w:rsidRPr="00BC5DA9">
        <w:rPr>
          <w:rFonts w:ascii="Century Gothic" w:eastAsia="Times New Roman" w:hAnsi="Century Gothic" w:cs="Segoe UI"/>
          <w:lang w:eastAsia="es-CO"/>
        </w:rPr>
        <w:t>. Las medidas cautelares implementadas en los trámites de extinción serán prevalentes sobre cualquier otra.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 facultad para decidir sobre la destinación y distribución definitiva de los bienes que le corresponden a la Fiscalía General de la Nación y a la Rama </w:t>
      </w:r>
      <w:r w:rsidRPr="00BC5DA9">
        <w:rPr>
          <w:rFonts w:ascii="Century Gothic" w:eastAsia="Times New Roman" w:hAnsi="Century Gothic" w:cs="Segoe UI"/>
          <w:lang w:eastAsia="es-CO"/>
        </w:rPr>
        <w:lastRenderedPageBreak/>
        <w:t xml:space="preserve">Judicial, en los porcentajes establecidos en el inciso 1° del presente artículo, estará a cargo de un Comité integrado por un representante del Gobierno nacional, un representante de la Fiscalía General de la Nación y un representante de la Rama Judicial, quienes decidirán conforme a las solicitudes remitidas a este Comité por parte del administrador del </w:t>
      </w:r>
      <w:proofErr w:type="spellStart"/>
      <w:r w:rsidRPr="00BC5DA9">
        <w:rPr>
          <w:rFonts w:ascii="Century Gothic" w:eastAsia="Times New Roman" w:hAnsi="Century Gothic" w:cs="Segoe UI"/>
          <w:lang w:eastAsia="es-CO"/>
        </w:rPr>
        <w:t>Frisco</w:t>
      </w:r>
      <w:proofErr w:type="spellEnd"/>
      <w:r w:rsidRPr="00BC5DA9">
        <w:rPr>
          <w:rFonts w:ascii="Century Gothic" w:eastAsia="Times New Roman" w:hAnsi="Century Gothic" w:cs="Segoe UI"/>
          <w:lang w:eastAsia="es-CO"/>
        </w:rPr>
        <w:t xml:space="preserve"> y de conformidad con el reglamento que el Comité expida para tal efecto”.</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159.</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Obligatoriedad de suministro de información</w:t>
      </w:r>
      <w:r w:rsidRPr="00BC5DA9">
        <w:rPr>
          <w:rFonts w:ascii="Century Gothic" w:eastAsia="Times New Roman" w:hAnsi="Century Gothic" w:cs="Segoe UI"/>
          <w:lang w:eastAsia="es-CO"/>
        </w:rPr>
        <w:t>. Modifíquese el artículo 227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227. </w:t>
      </w:r>
      <w:r w:rsidRPr="00BC5DA9">
        <w:rPr>
          <w:rFonts w:ascii="Century Gothic" w:eastAsia="Times New Roman" w:hAnsi="Century Gothic" w:cs="Segoe UI"/>
          <w:b/>
          <w:bCs/>
          <w:i/>
          <w:iCs/>
          <w:lang w:eastAsia="es-CO"/>
        </w:rPr>
        <w:t>Obligatoriedad de suministro de información</w:t>
      </w:r>
      <w:r w:rsidRPr="00BC5DA9">
        <w:rPr>
          <w:rFonts w:ascii="Century Gothic" w:eastAsia="Times New Roman" w:hAnsi="Century Gothic" w:cs="Segoe UI"/>
          <w:b/>
          <w:bCs/>
          <w:lang w:eastAsia="es-CO"/>
        </w:rPr>
        <w:t xml:space="preserve">. </w:t>
      </w:r>
      <w:r w:rsidRPr="00BC5DA9">
        <w:rPr>
          <w:rFonts w:ascii="Century Gothic" w:eastAsia="Times New Roman" w:hAnsi="Century Gothic" w:cs="Segoe UI"/>
          <w:lang w:eastAsia="es-CO"/>
        </w:rPr>
        <w:t>Para el desarrollo de los planes, programas y proyectos incluidos en el Plan Nacional de Desarrollo y en general para el ejercicio de las funciones públicas, las entidades públicas y los particulares que ejerzan funciones públicas, pondrán a disposición de las entidades públicas que así lo soliciten, la información que generen, obtengan, adquieran o controlen y administren, en cumplimiento y ejercicio de su objeto misional. El uso y reutilización de esta información deberá garantizar la observancia de los principios y normas de protección de datos personales, de conformidad con lo dispuesto en las Leyes 1581 de 2012 y 1712 de 2014, así como las demás normas que regulan la materia.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suministro de la información será gratuito, deberá solicitarse y realizarse respaldado en estándares que faciliten el proceso de intercambio y no en tecnologías específicas que impidan el acceso, no estará sujeto al pago de tributo, tarifa o precio alguno y las entidades públicas solo podrán cobrar los costos asociados a su reproducción o los derivados de la aplicación de procesamientos o filtros especiales. Las entidades públicas propenderán por la integración de los sistemas de información para el ejercicio eficiente y adecuado de la función pública.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obligaciones a las que hace referencia este artículo constituyen un deber para los servidores públicos en los términos del artículo 34 del Código Disciplinario Único y los términos para su cumplimiento deberán atender lo dispuesto en la Ley Estatutaria del Derecho de Petición.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Las curadurías urbanas entregarán a los entes territoriales que lo soliciten la información pertinente sobre las solicitudes, expediciones y aprobaciones de todos los actos administrativos de licenciamiento urbanístico, a fin de que estos puedan ejercer con oportunidad y eficacia los respectivos procesos de vigilancia y control del desarrollo urbanístico e inmobiliario. Para el efecto, cada ente territorial acordará con las curadurías urbanas respectivas los medios para el reporte de la información.</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Para el reconocimiento de derechos pensionales y el cumplimiento de la labor de fiscalización de competencia de la Unidad Administrativa Especial de Gestión Pensional y Contribuciones Parafiscales de la Protección Social (UGPP), esta tendrá acceso a la información alfanumérica y biográfica que administra la </w:t>
      </w:r>
      <w:proofErr w:type="spellStart"/>
      <w:r w:rsidRPr="00BC5DA9">
        <w:rPr>
          <w:rFonts w:ascii="Century Gothic" w:eastAsia="Times New Roman" w:hAnsi="Century Gothic" w:cs="Segoe UI"/>
          <w:lang w:eastAsia="es-CO"/>
        </w:rPr>
        <w:t>Registraduría</w:t>
      </w:r>
      <w:proofErr w:type="spellEnd"/>
      <w:r w:rsidRPr="00BC5DA9">
        <w:rPr>
          <w:rFonts w:ascii="Century Gothic" w:eastAsia="Times New Roman" w:hAnsi="Century Gothic" w:cs="Segoe UI"/>
          <w:lang w:eastAsia="es-CO"/>
        </w:rPr>
        <w:t xml:space="preserve"> Nacional del Estado Civil, así como a </w:t>
      </w:r>
      <w:r w:rsidRPr="00BC5DA9">
        <w:rPr>
          <w:rFonts w:ascii="Century Gothic" w:eastAsia="Times New Roman" w:hAnsi="Century Gothic" w:cs="Segoe UI"/>
          <w:lang w:eastAsia="es-CO"/>
        </w:rPr>
        <w:lastRenderedPageBreak/>
        <w:t>la tributaria de que trata el artículo 574 y el Capítulo III del Título II del Libro V del Estatuto Tributario que administra la Dirección de Impuestos y Aduanas Nacionales. La UGPP podrá reportar los hallazgos a las Administradoras del Sistema de Protección Social, para que adelanten las acciones bajo su competencia. Para estos efectos la UGPP requerirá a la Dirección de Impuestos y Aduanas Nacionales, dentro de lo de su competencia, para obtener la información necesaria.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La Registraría Nacional de Estado Civil, permitirá el acceso a la información alfanumérica, biográfica y biométrica que soliciten las administradoras del sistema de seguridad social integral en pensiones, salud y riesgos laborales, para que adelanten las acciones estrictamente relacionadas con el cumplimiento de su objetivo misional.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Las entidades públicas o particulares con funciones públicas que quieran verificar la plena identidad de los ciudadanos contra la base de datos biométrica que produce y administra la </w:t>
      </w:r>
      <w:proofErr w:type="spellStart"/>
      <w:r w:rsidRPr="00BC5DA9">
        <w:rPr>
          <w:rFonts w:ascii="Century Gothic" w:eastAsia="Times New Roman" w:hAnsi="Century Gothic" w:cs="Segoe UI"/>
          <w:lang w:eastAsia="es-CO"/>
        </w:rPr>
        <w:t>Registraduría</w:t>
      </w:r>
      <w:proofErr w:type="spellEnd"/>
      <w:r w:rsidRPr="00BC5DA9">
        <w:rPr>
          <w:rFonts w:ascii="Century Gothic" w:eastAsia="Times New Roman" w:hAnsi="Century Gothic" w:cs="Segoe UI"/>
          <w:lang w:eastAsia="es-CO"/>
        </w:rPr>
        <w:t xml:space="preserve"> Nacional de Estado Civil, podrán implementar su propia infraestructura para acceder directamente o a través de un aliado tecnológico certificado por la </w:t>
      </w:r>
      <w:proofErr w:type="spellStart"/>
      <w:r w:rsidRPr="00BC5DA9">
        <w:rPr>
          <w:rFonts w:ascii="Century Gothic" w:eastAsia="Times New Roman" w:hAnsi="Century Gothic" w:cs="Segoe UI"/>
          <w:lang w:eastAsia="es-CO"/>
        </w:rPr>
        <w:t>Registraduría</w:t>
      </w:r>
      <w:proofErr w:type="spellEnd"/>
      <w:r w:rsidRPr="00BC5DA9">
        <w:rPr>
          <w:rFonts w:ascii="Century Gothic" w:eastAsia="Times New Roman" w:hAnsi="Century Gothic" w:cs="Segoe UI"/>
          <w:lang w:eastAsia="es-CO"/>
        </w:rPr>
        <w:t xml:space="preserve"> para consultar en línea las minucias dactilares.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Los particulares que desarrollen las actividades del artículo 335 de la Constitución Política y los demás que autorice la ley, podrán acceder a las réplicas de las bases de datos de identificación de la Registradora y consultar en línea minucias dactilares, utilizando infraestructura propia o a través de un aliado tecnológico certificado por la </w:t>
      </w:r>
      <w:proofErr w:type="spellStart"/>
      <w:r w:rsidRPr="00BC5DA9">
        <w:rPr>
          <w:rFonts w:ascii="Century Gothic" w:eastAsia="Times New Roman" w:hAnsi="Century Gothic" w:cs="Segoe UI"/>
          <w:lang w:eastAsia="es-CO"/>
        </w:rPr>
        <w:t>Registraduría</w:t>
      </w:r>
      <w:proofErr w:type="spellEnd"/>
      <w:r w:rsidRPr="00BC5DA9">
        <w:rPr>
          <w:rFonts w:ascii="Century Gothic" w:eastAsia="Times New Roman" w:hAnsi="Century Gothic" w:cs="Segoe UI"/>
          <w:lang w:eastAsia="es-CO"/>
        </w:rPr>
        <w:t xml:space="preserve">. Para ello deberán previamente cubrir los costos que anualmente indique la </w:t>
      </w:r>
      <w:proofErr w:type="spellStart"/>
      <w:r w:rsidRPr="00BC5DA9">
        <w:rPr>
          <w:rFonts w:ascii="Century Gothic" w:eastAsia="Times New Roman" w:hAnsi="Century Gothic" w:cs="Segoe UI"/>
          <w:lang w:eastAsia="es-CO"/>
        </w:rPr>
        <w:t>Registraduría</w:t>
      </w:r>
      <w:proofErr w:type="spellEnd"/>
      <w:r w:rsidRPr="00BC5DA9">
        <w:rPr>
          <w:rFonts w:ascii="Century Gothic" w:eastAsia="Times New Roman" w:hAnsi="Century Gothic" w:cs="Segoe UI"/>
          <w:lang w:eastAsia="es-CO"/>
        </w:rPr>
        <w:t>, por concepto de Administración, soporte, mantenimiento de las aplicaciones de las actualizaciones de las bases de datos.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Los Departamentos y el Distrito Capital estarán obligados a integrarse al Sistema Único Nacional de Información y Rastreo (</w:t>
      </w:r>
      <w:proofErr w:type="spellStart"/>
      <w:r w:rsidRPr="00BC5DA9">
        <w:rPr>
          <w:rFonts w:ascii="Century Gothic" w:eastAsia="Times New Roman" w:hAnsi="Century Gothic" w:cs="Segoe UI"/>
          <w:lang w:eastAsia="es-CO"/>
        </w:rPr>
        <w:t>Sunir</w:t>
      </w:r>
      <w:proofErr w:type="spellEnd"/>
      <w:r w:rsidRPr="00BC5DA9">
        <w:rPr>
          <w:rFonts w:ascii="Century Gothic" w:eastAsia="Times New Roman" w:hAnsi="Century Gothic" w:cs="Segoe UI"/>
          <w:lang w:eastAsia="es-CO"/>
        </w:rPr>
        <w:t>) que diseñe, implemente y administre la entidad pública que defina el Gobierno nacional, y a suministrar la información que este requiera. Este sistema, que tendrá en cuenta las especificidades de cada industria, se establecerá para obtener toda la información correspondiente a la importación, producción, distribución, consumo y exportación de los bienes sujetos al impuesto al consumo de licores, vinos, aperitivos y similares, de cerveza, sifones, refajos y mezclas y de cigarrillos y tabaco elaborado. El sistema permitirá además la identificación y trazabilidad de los productos.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4°.</w:t>
      </w:r>
      <w:r w:rsidRPr="00BC5DA9">
        <w:rPr>
          <w:rFonts w:ascii="Century Gothic" w:eastAsia="Times New Roman" w:hAnsi="Century Gothic" w:cs="Segoe UI"/>
          <w:lang w:eastAsia="es-CO"/>
        </w:rPr>
        <w:t xml:space="preserve"> Para el cumplimiento de las labores de controlar, fiscalizar y vigilar las modalidades de juegos de suerte y azar que administra </w:t>
      </w:r>
      <w:proofErr w:type="spellStart"/>
      <w:r w:rsidRPr="00BC5DA9">
        <w:rPr>
          <w:rFonts w:ascii="Century Gothic" w:eastAsia="Times New Roman" w:hAnsi="Century Gothic" w:cs="Segoe UI"/>
          <w:lang w:eastAsia="es-CO"/>
        </w:rPr>
        <w:t>Coljuegos</w:t>
      </w:r>
      <w:proofErr w:type="spellEnd"/>
      <w:r w:rsidRPr="00BC5DA9">
        <w:rPr>
          <w:rFonts w:ascii="Century Gothic" w:eastAsia="Times New Roman" w:hAnsi="Century Gothic" w:cs="Segoe UI"/>
          <w:lang w:eastAsia="es-CO"/>
        </w:rPr>
        <w:t>, en lo relacionado con la información relevante para el ejercicio de su función, tendrá acceso a la información tributaria de que trata el artículo 574 y el Capítulo III del Título II del Libro V del Estatuto Tributario que administra la Dirección de Impuestos y Aduanas Nacionales.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lastRenderedPageBreak/>
        <w:t>Parágrafo 5°.</w:t>
      </w:r>
      <w:r w:rsidRPr="00BC5DA9">
        <w:rPr>
          <w:rFonts w:ascii="Century Gothic" w:eastAsia="Times New Roman" w:hAnsi="Century Gothic" w:cs="Segoe UI"/>
          <w:lang w:eastAsia="es-CO"/>
        </w:rPr>
        <w:t xml:space="preserve"> Las entidades públicas y privadas que administren o cuenten con información sobre historias laborales suministrarán la información que los Ministerios de Hacienda y Crédito Público y Trabajo estimen necesaria para la construcción de las historias laborales unificadas, siempre que esta información sea relevante para el ejercicio de funciones públicas y su solicitud, suministro, tratamiento y custodia observe los principios y normatividad vigente para el tratamiento de datos personales”.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160.</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Sistema Estadístico Nacional</w:t>
      </w:r>
      <w:r w:rsidRPr="00BC5DA9">
        <w:rPr>
          <w:rFonts w:ascii="Century Gothic" w:eastAsia="Times New Roman" w:hAnsi="Century Gothic" w:cs="Segoe UI"/>
          <w:lang w:eastAsia="es-CO"/>
        </w:rPr>
        <w:t>. Créase el Sistema Estadístico Nacional, en adelante SEN, con el objetivo de suministrar a la sociedad y al Estado, de manera coordinada entre las entidades productoras, estadísticas oficiales nacionales y territoriales de calidad, con lenguajes y procedimientos comunes respetuosos de los estándares estadísticos internacionales, que contribuyan a la transparencia, pertinencia, interoperabilidad, acceso, oportunidad y coherencia de las estadísticas producidas en el país.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SEN estará integrado por las entidades que produzcan y difundan estadísticas o sean responsables de registros administrativos,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1. Pertenecientes a las Ramas del Poder Público, en todos los niveles de la estructura estatal, central o descentralizada por servicios o territorialmente; del orden nacional, departamental, municipal y distrital.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2. Los órganos, organismos o entidades estatales independientes o autónomos de control.</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3. Las personas jurídicas, públicas o privadas, que presten servicios públicos.</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4. Cualquier persona jurídica o dependencia de persona jurídica que desempeñe función pública o de autoridad pública.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5. Personas jurídicas que posean, produzcan o administren registros administrativos en el desarrollo de su objeto social, que sean insumos necesarios para la producción de estadísticas oficiales.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El Departamento Administrativo Nacional de Estadística (DANE) será el ente rector y por tanto el coordinador y regulador del SEN. El DANE establecerá las condiciones y características que deberán cumplir las estadísticas oficiales en Colombia, respetando los estándares internacionales que usen las entidades productoras de estadísticas. Dichas condiciones y características serán consignadas en el Plan Estadístico Nacional, el cual será concertado con todos los integrantes del SEN.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1°.</w:t>
      </w:r>
      <w:r w:rsidRPr="00BC5DA9">
        <w:rPr>
          <w:rFonts w:ascii="Century Gothic" w:eastAsia="Times New Roman" w:hAnsi="Century Gothic" w:cs="Segoe UI"/>
          <w:lang w:eastAsia="es-CO"/>
        </w:rPr>
        <w:t xml:space="preserve"> Los integrantes del SEN implementarán los lineamientos, buenas prácticas, estándares y normas técnicas que el DANE defina soportado en referentes internacionales, para la producción y difusión de estadísticas oficiales y para el aprovechamiento estadístico de los registros administrativos. Con el fin de garantizar la calidad de las estadísticas oficiales de acuerdo con la </w:t>
      </w:r>
      <w:r w:rsidRPr="00BC5DA9">
        <w:rPr>
          <w:rFonts w:ascii="Century Gothic" w:eastAsia="Times New Roman" w:hAnsi="Century Gothic" w:cs="Segoe UI"/>
          <w:lang w:eastAsia="es-CO"/>
        </w:rPr>
        <w:lastRenderedPageBreak/>
        <w:t>reglamentación que expida el Gobierno nacional, los integrantes del SEN atenderán las obligaciones derivadas de las evaluaciones y requisitos de calidad estadística establecidos por el DANE o de las evaluaciones hechas por organismos internacionales.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2°.</w:t>
      </w:r>
      <w:r w:rsidRPr="00BC5DA9">
        <w:rPr>
          <w:rFonts w:ascii="Century Gothic" w:eastAsia="Times New Roman" w:hAnsi="Century Gothic" w:cs="Segoe UI"/>
          <w:lang w:eastAsia="es-CO"/>
        </w:rPr>
        <w:t xml:space="preserve"> Para la producción y difusión de estadísticas oficiales y de conformidad con la Ley 1266 de 2008 y la Ley 1712 de 2014, los integrantes del SEN deberán poner a disposición del DANE, de manera inmediata y de forma gratuita, las bases de datos completas de los registros administrativos que sean solicitados por el departamento, para lo cual no será oponible la reserva legal. El DANE garantizará la reserva y confidencialidad de la información en concordancia con el artículo 5° de la Ley 79 de 1993.</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3°.</w:t>
      </w:r>
      <w:r w:rsidRPr="00BC5DA9">
        <w:rPr>
          <w:rFonts w:ascii="Century Gothic" w:eastAsia="Times New Roman" w:hAnsi="Century Gothic" w:cs="Segoe UI"/>
          <w:lang w:eastAsia="es-CO"/>
        </w:rPr>
        <w:t xml:space="preserve"> El SEN contará con un Plan Estadístico Nacional quinquenal que será formulado por el DANE en conjunto con todos los integrantes del Sistema y aprobado por el Consejo Asesor Nacional de Estadística de que trata el parágrafo 5° del presente artículo. Las estrategias y acciones establecidas en el Plan Estadístico Nacional serán de obligatorio cumplimiento por los miembros del SEN.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4°.</w:t>
      </w:r>
      <w:r w:rsidRPr="00BC5DA9">
        <w:rPr>
          <w:rFonts w:ascii="Century Gothic" w:eastAsia="Times New Roman" w:hAnsi="Century Gothic" w:cs="Segoe UI"/>
          <w:lang w:eastAsia="es-CO"/>
        </w:rPr>
        <w:t xml:space="preserve"> Sin perjuicio de lo establecido en el parágrafo 2° del presente artículo, para la producción de estadísticas oficiales, y con el fin de contribuir al fortalecimiento de la calidad y coherencia de las mismas, los integrantes del SEN intercambiar n información estadística, hasta el nivel de </w:t>
      </w:r>
      <w:proofErr w:type="spellStart"/>
      <w:r w:rsidRPr="00BC5DA9">
        <w:rPr>
          <w:rFonts w:ascii="Century Gothic" w:eastAsia="Times New Roman" w:hAnsi="Century Gothic" w:cs="Segoe UI"/>
          <w:lang w:eastAsia="es-CO"/>
        </w:rPr>
        <w:t>microdato</w:t>
      </w:r>
      <w:proofErr w:type="spellEnd"/>
      <w:r w:rsidRPr="00BC5DA9">
        <w:rPr>
          <w:rFonts w:ascii="Century Gothic" w:eastAsia="Times New Roman" w:hAnsi="Century Gothic" w:cs="Segoe UI"/>
          <w:lang w:eastAsia="es-CO"/>
        </w:rPr>
        <w:t xml:space="preserve">, de forma gratuita y oportuna, de acuerdo con la reglamentación que para el efecto expida el Gobierno Nacional. Los requerimientos de intercambio de información a nivel de </w:t>
      </w:r>
      <w:proofErr w:type="spellStart"/>
      <w:r w:rsidRPr="00BC5DA9">
        <w:rPr>
          <w:rFonts w:ascii="Century Gothic" w:eastAsia="Times New Roman" w:hAnsi="Century Gothic" w:cs="Segoe UI"/>
          <w:lang w:eastAsia="es-CO"/>
        </w:rPr>
        <w:t>microdato</w:t>
      </w:r>
      <w:proofErr w:type="spellEnd"/>
      <w:r w:rsidRPr="00BC5DA9">
        <w:rPr>
          <w:rFonts w:ascii="Century Gothic" w:eastAsia="Times New Roman" w:hAnsi="Century Gothic" w:cs="Segoe UI"/>
          <w:lang w:eastAsia="es-CO"/>
        </w:rPr>
        <w:t xml:space="preserve"> deberán ser concertados en el Plan Estadístico Nacional o a través del Consejo Asesor Nacional de Estadística de que trata el parágrafo 5° de este artículo. Las entidades que hagan parte del intercambio de información deben salvaguardar la confidencialidad y reserva de la misma.</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Parágrafo 5°.</w:t>
      </w:r>
      <w:r w:rsidRPr="00BC5DA9">
        <w:rPr>
          <w:rFonts w:ascii="Century Gothic" w:eastAsia="Times New Roman" w:hAnsi="Century Gothic" w:cs="Segoe UI"/>
          <w:lang w:eastAsia="es-CO"/>
        </w:rPr>
        <w:t xml:space="preserve"> Con el fin de promover y facilitar la coordinación del SEN, créase el Consejo Asesor Nacional de Estadística como órgano de carácter consultivo. El Gobierno nacional reglamentará la composición y funcionamiento de este Consejo en el cual los órganos, organismos o entidades estatales independientes o autónomos de control deberán estar representados.</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161.</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Censo Nacional de Población y Vivienda</w:t>
      </w:r>
      <w:r w:rsidRPr="00BC5DA9">
        <w:rPr>
          <w:rFonts w:ascii="Century Gothic" w:eastAsia="Times New Roman" w:hAnsi="Century Gothic" w:cs="Segoe UI"/>
          <w:lang w:eastAsia="es-CO"/>
        </w:rPr>
        <w:t>. El Departamento Administrativo Nacional de Estadística (DANE) realizará el XVIII Censo Nacional de Población y VII de Vivienda en el año 2016.</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xml:space="preserve">Se llevará a cabo un conteo </w:t>
      </w:r>
      <w:proofErr w:type="spellStart"/>
      <w:r w:rsidRPr="00BC5DA9">
        <w:rPr>
          <w:rFonts w:ascii="Century Gothic" w:eastAsia="Times New Roman" w:hAnsi="Century Gothic" w:cs="Segoe UI"/>
          <w:lang w:eastAsia="es-CO"/>
        </w:rPr>
        <w:t>intercensal</w:t>
      </w:r>
      <w:proofErr w:type="spellEnd"/>
      <w:r w:rsidRPr="00BC5DA9">
        <w:rPr>
          <w:rFonts w:ascii="Century Gothic" w:eastAsia="Times New Roman" w:hAnsi="Century Gothic" w:cs="Segoe UI"/>
          <w:lang w:eastAsia="es-CO"/>
        </w:rPr>
        <w:t xml:space="preserve"> de población a los cinco (5) años de realizado el censo de población y vivienda para el monitoreo y seguimiento de la dinámica demográfica, y la actualización y mantenimiento del Marco </w:t>
      </w:r>
      <w:proofErr w:type="spellStart"/>
      <w:r w:rsidRPr="00BC5DA9">
        <w:rPr>
          <w:rFonts w:ascii="Century Gothic" w:eastAsia="Times New Roman" w:hAnsi="Century Gothic" w:cs="Segoe UI"/>
          <w:lang w:eastAsia="es-CO"/>
        </w:rPr>
        <w:t>Geoestadístico</w:t>
      </w:r>
      <w:proofErr w:type="spellEnd"/>
      <w:r w:rsidRPr="00BC5DA9">
        <w:rPr>
          <w:rFonts w:ascii="Century Gothic" w:eastAsia="Times New Roman" w:hAnsi="Century Gothic" w:cs="Segoe UI"/>
          <w:lang w:eastAsia="es-CO"/>
        </w:rPr>
        <w:t xml:space="preserve"> Nacional y de las proyecciones de población.</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162.</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Enajenación de participaciones minoritarias de la Nación</w:t>
      </w:r>
      <w:r w:rsidRPr="00BC5DA9">
        <w:rPr>
          <w:rFonts w:ascii="Century Gothic" w:eastAsia="Times New Roman" w:hAnsi="Century Gothic" w:cs="Segoe UI"/>
          <w:lang w:eastAsia="es-CO"/>
        </w:rPr>
        <w:t>. Modifíquese el artículo 258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lastRenderedPageBreak/>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258. </w:t>
      </w:r>
      <w:r w:rsidRPr="00BC5DA9">
        <w:rPr>
          <w:rFonts w:ascii="Century Gothic" w:eastAsia="Times New Roman" w:hAnsi="Century Gothic" w:cs="Segoe UI"/>
          <w:b/>
          <w:bCs/>
          <w:i/>
          <w:iCs/>
          <w:lang w:eastAsia="es-CO"/>
        </w:rPr>
        <w:t>Enajenación de participaciones minoritarias de la Nación</w:t>
      </w:r>
      <w:r w:rsidRPr="00BC5DA9">
        <w:rPr>
          <w:rFonts w:ascii="Century Gothic" w:eastAsia="Times New Roman" w:hAnsi="Century Gothic" w:cs="Segoe UI"/>
          <w:b/>
          <w:bCs/>
          <w:lang w:eastAsia="es-CO"/>
        </w:rPr>
        <w:t xml:space="preserve">. </w:t>
      </w:r>
      <w:r w:rsidRPr="00BC5DA9">
        <w:rPr>
          <w:rFonts w:ascii="Century Gothic" w:eastAsia="Times New Roman" w:hAnsi="Century Gothic" w:cs="Segoe UI"/>
          <w:lang w:eastAsia="es-CO"/>
        </w:rPr>
        <w:t>La Nación podrá enajenar o entregar al colector de activos de la Nación, Central de Inversiones (CISA), aquellas participaciones accionarias en las cuales la propiedad de las mismas haya sido producto de un acto en el que no haya mediado la voluntad expresa de la Nación o que provengan de una dación en pago, siempre y cuando esta participación no supere el diez por ciento (10%) de la propiedad accionaria de la empresa.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Cuando la Nación opte por enajenar la participación en una empresa deberá dar aplicación al régimen societario al que se encuentra sometida. Para efectos de la valoración de la participación deberá contarse con la no objeción de la Dirección General de Crédito Público y Tesoro Nacional del Ministerio de Hacienda y Crédito Público.</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En el evento en que la Nación decida entregar las acciones para que el Colector de Activos adelante el proceso de enajenación, este se efectuará conforme al modelo de valoración y al procedimiento establecido por CISA”.</w:t>
      </w:r>
    </w:p>
    <w:p w:rsidR="002732EB" w:rsidRPr="00BC5DA9" w:rsidRDefault="002732EB" w:rsidP="002732EB">
      <w:pPr>
        <w:adjustRightInd w:val="0"/>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lang w:eastAsia="es-CO"/>
        </w:rPr>
        <w:t>Artículo 163.</w:t>
      </w:r>
      <w:r w:rsidRPr="00BC5DA9">
        <w:rPr>
          <w:rFonts w:ascii="Century Gothic" w:eastAsia="Times New Roman" w:hAnsi="Century Gothic" w:cs="Segoe UI"/>
          <w:lang w:eastAsia="es-CO"/>
        </w:rPr>
        <w:t xml:space="preserve"> </w:t>
      </w:r>
      <w:r w:rsidRPr="00BC5DA9">
        <w:rPr>
          <w:rFonts w:ascii="Century Gothic" w:eastAsia="Times New Roman" w:hAnsi="Century Gothic" w:cs="Segoe UI"/>
          <w:i/>
          <w:iCs/>
          <w:lang w:eastAsia="es-CO"/>
        </w:rPr>
        <w:t>Movilización de activos</w:t>
      </w:r>
      <w:r w:rsidRPr="00BC5DA9">
        <w:rPr>
          <w:rFonts w:ascii="Century Gothic" w:eastAsia="Times New Roman" w:hAnsi="Century Gothic" w:cs="Segoe UI"/>
          <w:lang w:eastAsia="es-CO"/>
        </w:rPr>
        <w:t>. Modifíquese el artículo 238 de la Ley 1450 de 2011, el cual quedará así:</w:t>
      </w:r>
    </w:p>
    <w:p w:rsidR="002732EB" w:rsidRPr="00BC5DA9" w:rsidRDefault="002732EB" w:rsidP="002732EB">
      <w:pPr>
        <w:adjustRightInd w:val="0"/>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 </w:t>
      </w:r>
    </w:p>
    <w:p w:rsidR="002732EB" w:rsidRPr="00BC5DA9" w:rsidRDefault="002732EB" w:rsidP="002732EB">
      <w:pPr>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CO"/>
        </w:rPr>
        <w:t>“</w:t>
      </w:r>
      <w:r w:rsidRPr="00BC5DA9">
        <w:rPr>
          <w:rFonts w:ascii="Century Gothic" w:eastAsia="Times New Roman" w:hAnsi="Century Gothic" w:cs="Segoe UI"/>
          <w:b/>
          <w:bCs/>
          <w:lang w:eastAsia="es-CO"/>
        </w:rPr>
        <w:t xml:space="preserve">Artículo 238. </w:t>
      </w:r>
      <w:r w:rsidRPr="00BC5DA9">
        <w:rPr>
          <w:rFonts w:ascii="Century Gothic" w:eastAsia="Times New Roman" w:hAnsi="Century Gothic" w:cs="Segoe UI"/>
          <w:b/>
          <w:bCs/>
          <w:i/>
          <w:iCs/>
          <w:lang w:eastAsia="es-CO"/>
        </w:rPr>
        <w:t>Movilización de activos</w:t>
      </w:r>
      <w:r w:rsidRPr="00BC5DA9">
        <w:rPr>
          <w:rFonts w:ascii="Century Gothic" w:eastAsia="Times New Roman" w:hAnsi="Century Gothic" w:cs="Segoe UI"/>
          <w:lang w:eastAsia="es-CO"/>
        </w:rPr>
        <w:t>. A partir de la expedición de la presente ley, las entidades públicas del orden nacional con excepción de las entidades financieras de carácter estatal, las Empresas Industriales y Comerciales del Estado, las Sociedades de Economía Mixta y las entidades en liquidación, deberán vender los inmuebles que no requieran para el ejercicio de sus funciones y la cartera con más de ciento ochenta (180) días de vencida, al colector de activos de la Nación, Central de Inversiones (CISA), para que este las gestione.</w:t>
      </w:r>
    </w:p>
    <w:p w:rsidR="002732EB" w:rsidRPr="00BC5DA9" w:rsidRDefault="002732EB" w:rsidP="002732EB">
      <w:pPr>
        <w:spacing w:after="0" w:line="240" w:lineRule="auto"/>
        <w:ind w:left="284"/>
        <w:jc w:val="both"/>
        <w:rPr>
          <w:rFonts w:ascii="Century Gothic" w:eastAsia="Times New Roman" w:hAnsi="Century Gothic" w:cs="Times New Roman"/>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La cartera de naturaleza coactiva y la que no esté vencida, podrá ser entregada en administración a CISA.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El registro de la transferencia de los inmuebles entre las entidades públicas y CISA, estará exento de los gastos asociados a dicho acto.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Se exceptúa a las entidades públicas de la obligación de vender su cartera a Central de Inversiones (CISA) cuando se haya iniciado el cobro coactivo. Se entenderá que ha iniciado el cobro coactivo cuando se haya librado mandamiento de pago. Se exceptúa igualmente la cartera proveniente de las operaciones de crédito público celebradas por la Nación, Ministerio de Hacienda y Crédito Público y de la Unidad Administrativa Especial de Impuestos y Aduanas Nacionales.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La forma, los plazos para el traslado de los recursos que genere la gestión de los activos a que se refiere el presente artículo, las condiciones para determinar los casos en que un activo no es requerido por una entidad para el </w:t>
      </w:r>
      <w:r w:rsidRPr="00BC5DA9">
        <w:rPr>
          <w:rFonts w:ascii="Century Gothic" w:eastAsia="Times New Roman" w:hAnsi="Century Gothic" w:cs="Segoe UI"/>
          <w:lang w:eastAsia="es-MX"/>
        </w:rPr>
        <w:lastRenderedPageBreak/>
        <w:t>ejercicio de sus funciones, el valor de las comisiones para la administración y/o comercialización serán reglamentados por el Gobierno nacional.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3°.</w:t>
      </w:r>
      <w:r w:rsidRPr="00BC5DA9">
        <w:rPr>
          <w:rFonts w:ascii="Century Gothic" w:eastAsia="Times New Roman" w:hAnsi="Century Gothic" w:cs="Segoe UI"/>
          <w:lang w:eastAsia="es-MX"/>
        </w:rPr>
        <w:t xml:space="preserve"> Los negocios que se celebren con Central de Inversiones (CISA) se realizarán mediante contrato administrativo y bajo las condiciones que fije el modelo de valoración definido por el Gobierno nacional para CISA.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4°.</w:t>
      </w:r>
      <w:r w:rsidRPr="00BC5DA9">
        <w:rPr>
          <w:rFonts w:ascii="Century Gothic" w:eastAsia="Times New Roman" w:hAnsi="Century Gothic" w:cs="Segoe UI"/>
          <w:lang w:eastAsia="es-MX"/>
        </w:rPr>
        <w:t xml:space="preserve"> En los eventos en que la cartera sea de imposible recaudo por la prescripción o caducidad de la acción, por la pérdida de fuerza ejecutoria del acto administrativo que le dio origen o por la inexistencia probada del deudor o su insolvencia demostrada y por tanto no sea posible ejercer los derechos de cobro o bien porque la relación costo-beneficio al realizar su cobro no resulta eficiente; las entidades públicas ya señaladas, podrán realizar la depuración definitiva de estos saldos contables, realizando un informe detallado de las causales por las cuales se depura y las excluirá de la gestión, el Gobierno nacional reglamentará la materia.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5°.</w:t>
      </w:r>
      <w:r w:rsidRPr="00BC5DA9">
        <w:rPr>
          <w:rFonts w:ascii="Century Gothic" w:eastAsia="Times New Roman" w:hAnsi="Century Gothic" w:cs="Segoe UI"/>
          <w:lang w:eastAsia="es-MX"/>
        </w:rPr>
        <w:t xml:space="preserve"> Los inmuebles que se hubieran transferido por parte de las Entidades Públicas a Central de Inversiones (ISA) en virtud del artículo 238 de la Ley 1450 de 2011 y del artículo 26 de la Le 1420 de 2010, que a la fecha de expedición de la presente ley no hayan sido enajenados por CISA, podrán enajenarse por esta entidad de acuerdo a sus política y procedimientos. Los recursos obtenidos por estas ventas así como los frutos de dichos bienes, se girarán al Ministerio de Hacienda y Crédito Público al final de cada ejercicio por CISA una vez descontados los costos asumidos por esta entidad así como la comisión por la venta fijada según sus políticas y procedimientos”.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Conformación y funcionamiento del </w:t>
      </w:r>
      <w:proofErr w:type="spellStart"/>
      <w:r w:rsidRPr="00BC5DA9">
        <w:rPr>
          <w:rFonts w:ascii="Century Gothic" w:eastAsia="Times New Roman" w:hAnsi="Century Gothic" w:cs="Segoe UI"/>
          <w:i/>
          <w:iCs/>
          <w:lang w:eastAsia="es-MX"/>
        </w:rPr>
        <w:t>Conpes</w:t>
      </w:r>
      <w:proofErr w:type="spellEnd"/>
      <w:r w:rsidRPr="00BC5DA9">
        <w:rPr>
          <w:rFonts w:ascii="Century Gothic" w:eastAsia="Times New Roman" w:hAnsi="Century Gothic" w:cs="Segoe UI"/>
          <w:lang w:eastAsia="es-MX"/>
        </w:rPr>
        <w:t xml:space="preserve">. Unifíquese 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xml:space="preserve"> y 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xml:space="preserve"> para la Política Social en un solo organismo asesor del Gobierno en todos los aspectos que se relacionen con el desarrollo económico y social del país, en el Consejo de Política Económica y Social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xml:space="preserve">). El Gobierno nacional fijará las reglas de funcionamiento del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Serán miembros permanentes del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xml:space="preserve"> con voz y con voto, los Ministros de Despacho y los Directores de Departamentos Administrativos que se requieran para su adecuado funcionamiento. A discreción del Gobierno se establecerán los invitados con voz y sin voto.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Para el cumplimiento de sus objetivos el Consejo Nacional de Política Económica y Social tendrá las siguientes funciones: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1. Servir de organismo coordinador y señalar las orientaciones generales que deben seguir los distintos organismos especializados de la dirección económica y social del Gobierno.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2. Aprobar los documentos de política económica y social que sirvan de base para la elaboración de los planes y programas de desarrollo.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3. Aprobar el Plan Nacional de Desarrollo conforme a la Constitución y a la Ley 152 de 1994.</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4. Aprobar el informe sobre el resultado del total de las evaluaciones del Plan Nacional de Desarrollo con un documento que se constituirá en la base para el diseño del plan de inversiones del próximo año.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5. Estudiar y aprobar los informes periódicos u ocasionales que se le presenten a través de su Secretaria Técnica, sobre el desarrollo de los planes, programas y políticas generales, sectoriales y regionales, y recomendar las medidas que deban adoptarse para el cumplimiento de tales planes y programas.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6. Hacer seguimiento al avance, de las metas del Plan Nacional de Desarrollo, para alcanzar plenamente los objetivos de desarrollo sostenible a los que se ha comprometido previamente la Nación, de acuerdo con la información que las entidades territoriales alleguen a los ministerios, entidades competentes y al Departamento Nacional de Planeación, sobre la inclusión en sus Planes de Desarrollo de objetivos, metas y estrategias concretas dirigidas a la consecución de dichas metas.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7. Hacer seguimiento a los compromisos realizados por los ministerios y demás entidades a la luz de las políticas y programas aprobados por 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8. Estudiar y definir, sin perjuicio de las competencias del Consejo de Política Fiscal (</w:t>
      </w:r>
      <w:proofErr w:type="spellStart"/>
      <w:r w:rsidRPr="00BC5DA9">
        <w:rPr>
          <w:rFonts w:ascii="Century Gothic" w:eastAsia="Times New Roman" w:hAnsi="Century Gothic" w:cs="Segoe UI"/>
          <w:lang w:eastAsia="es-MX"/>
        </w:rPr>
        <w:t>Confis</w:t>
      </w:r>
      <w:proofErr w:type="spellEnd"/>
      <w:r w:rsidRPr="00BC5DA9">
        <w:rPr>
          <w:rFonts w:ascii="Century Gothic" w:eastAsia="Times New Roman" w:hAnsi="Century Gothic" w:cs="Segoe UI"/>
          <w:lang w:eastAsia="es-MX"/>
        </w:rPr>
        <w:t>), los instrumentos de política fiscal (Superávit Primario para Sector Público No Financiero, Plan Financiero, Plan Operativo Anual de inversiones, y Marco de Gasto de Mediano Plazo) según la normatividad vigente.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Funciones especializadas del </w:t>
      </w:r>
      <w:proofErr w:type="spellStart"/>
      <w:r w:rsidRPr="00BC5DA9">
        <w:rPr>
          <w:rFonts w:ascii="Century Gothic" w:eastAsia="Times New Roman" w:hAnsi="Century Gothic" w:cs="Segoe UI"/>
          <w:i/>
          <w:iCs/>
          <w:lang w:eastAsia="es-MX"/>
        </w:rPr>
        <w:t>Conpes</w:t>
      </w:r>
      <w:proofErr w:type="spellEnd"/>
      <w:r w:rsidRPr="00BC5DA9">
        <w:rPr>
          <w:rFonts w:ascii="Century Gothic" w:eastAsia="Times New Roman" w:hAnsi="Century Gothic" w:cs="Segoe UI"/>
          <w:lang w:eastAsia="es-MX"/>
        </w:rPr>
        <w:t xml:space="preserve">. Con el fin de precisar y determinar las competencias del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en concordancia con las funciones que se le asignan, reasígnense y elimínense las siguientes competencias: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1. En los procedimientos descritos en los artículos 16.1.2, 16.2, 41, 49, 66, 71, 79.4, 94, en el parágrafo 5° del artículo 48 de la Ley 715 de 2001; y el parágrafo del artículo 21 de la Ley 1286 de 2009, el Departamento Nacional de Planeación hará las veces del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a partir de la entrada en vigencia de esta ley.</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2. Elimínese la competencia del </w:t>
      </w:r>
      <w:proofErr w:type="spellStart"/>
      <w:r w:rsidRPr="00BC5DA9">
        <w:rPr>
          <w:rFonts w:ascii="Century Gothic" w:eastAsia="Times New Roman" w:hAnsi="Century Gothic" w:cs="Segoe UI"/>
          <w:lang w:eastAsia="es-MX"/>
        </w:rPr>
        <w:t>Conpes</w:t>
      </w:r>
      <w:proofErr w:type="spellEnd"/>
      <w:r w:rsidRPr="00BC5DA9">
        <w:rPr>
          <w:rFonts w:ascii="Century Gothic" w:eastAsia="Times New Roman" w:hAnsi="Century Gothic" w:cs="Segoe UI"/>
          <w:lang w:eastAsia="es-MX"/>
        </w:rPr>
        <w:t xml:space="preserve"> descrita en los procedimientos incorporados en los artículos 85 y 87 de la Ley 715 de 2001.</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Participación en los Órganos Colegiados de Administración y Decisión</w:t>
      </w:r>
      <w:r w:rsidRPr="00BC5DA9">
        <w:rPr>
          <w:rFonts w:ascii="Century Gothic" w:eastAsia="Times New Roman" w:hAnsi="Century Gothic" w:cs="Segoe UI"/>
          <w:lang w:eastAsia="es-MX"/>
        </w:rPr>
        <w:t>. Modifíquese el inciso 1° del artículo 42 de La Ley 1530 de 2012,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tabs>
          <w:tab w:val="left" w:pos="567"/>
        </w:tabs>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42°. </w:t>
      </w:r>
      <w:r w:rsidRPr="00BC5DA9">
        <w:rPr>
          <w:rFonts w:ascii="Century Gothic" w:eastAsia="Times New Roman" w:hAnsi="Century Gothic" w:cs="Segoe UI"/>
          <w:lang w:eastAsia="es-MX"/>
        </w:rPr>
        <w:t xml:space="preserve">Órganos Colegiados de Administración y Decisión. Los Órganos Colegiados de Administración y Decisión de los departamentos estarán integrados por dos (2) Ministros o sus delegados, el gobernador respectivo o su delegado y un número equivalente al diez por ciento (10%) de los alcaldes del </w:t>
      </w:r>
      <w:r w:rsidRPr="00BC5DA9">
        <w:rPr>
          <w:rFonts w:ascii="Century Gothic" w:eastAsia="Times New Roman" w:hAnsi="Century Gothic" w:cs="Segoe UI"/>
          <w:lang w:eastAsia="es-MX"/>
        </w:rPr>
        <w:lastRenderedPageBreak/>
        <w:t>departamento, o sus delegados, quienes serán elegidos de conformidad con lo que se señale por la Comisión Rectora del Sistema General en lo relacionado con las elecciones de representantes de alcaldes ante los órganos colegiados de administración y decisión”.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integrantes de las Comisiones Regionales de Competitividad podrán ser invitados a las sesiones de los OCAD departamentales, regionales y de Ciencia, Tecnología e Innovación en el marco del sistema de Competitividad, Ciencia, Tecnología e Innovación. Esta participación será ad honorem y no tendrá carácter vinculante.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167.</w:t>
      </w:r>
      <w:r w:rsidRPr="00BC5DA9">
        <w:rPr>
          <w:rFonts w:ascii="Century Gothic" w:eastAsia="Times New Roman" w:hAnsi="Century Gothic" w:cs="Segoe UI"/>
          <w:lang w:eastAsia="es-MX"/>
        </w:rPr>
        <w:t xml:space="preserve"> Órganos Colegiados de Administración y Decisión por Regiones. Modifíquese el artículo 159 de La Ley 1530 de 2012,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159. </w:t>
      </w:r>
      <w:r w:rsidRPr="00BC5DA9">
        <w:rPr>
          <w:rFonts w:ascii="Century Gothic" w:eastAsia="Times New Roman" w:hAnsi="Century Gothic" w:cs="Segoe UI"/>
          <w:lang w:eastAsia="es-MX"/>
        </w:rPr>
        <w:t>Órganos Colegiados de Administración y Decisión por Regiones. Los órganos colegiados de administración y decisión que se conforman por regiones estarán constituidos por todos los gobernadores que la componen, dos alcaldes por cada uno de sus departamentos y un alcalde adicional elegido por los alcaldes de las ciudades capitales de los departamentos de la región. También serán miembros cuatro (4) Ministros o sus delegados, uno de los cuales será el Ministro de Ambiente y Desarrollo Sostenible o su delegado, y el Director del Departamento Nacional de Planeación o su delegado. Los gobernadores serán miembros permanentes por la totalidad de su periodo de gobierno”.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168.</w:t>
      </w:r>
      <w:r w:rsidRPr="00BC5DA9">
        <w:rPr>
          <w:rFonts w:ascii="Century Gothic" w:eastAsia="Times New Roman" w:hAnsi="Century Gothic" w:cs="Segoe UI"/>
          <w:lang w:eastAsia="es-MX"/>
        </w:rPr>
        <w:t xml:space="preserve"> Liquidación del Fondo Nacional de Regalías, Cierre de Proyectos. En el trámite de la liquidación del Fondo Nacional de Regalías, las presuntas irregularidades identificadas en el uso de las asignaciones del mismo o en depósito en este, no darán lugar al inicio de procedimientos administrativos correctivos. Lo anterior, sin perjuicio de la obligación de reportarlas a los Órganos de Control o a la Fiscalía General de la Nación, cuando a ello hubiere lugar.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Las modificaciones efectuadas a los proyectos de inversión financiados con asignaciones del Fondo Nacional de Regalías o en depósito en este, son susceptibles de concepto técnico por las instancias </w:t>
      </w:r>
      <w:proofErr w:type="spellStart"/>
      <w:r w:rsidRPr="00BC5DA9">
        <w:rPr>
          <w:rFonts w:ascii="Century Gothic" w:eastAsia="Times New Roman" w:hAnsi="Century Gothic" w:cs="Segoe UI"/>
          <w:lang w:eastAsia="es-MX"/>
        </w:rPr>
        <w:t>viabilizadoras</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devoluciones que deba adelantar el Fondo Nacional de Regalías, en liquidación, por recursos que hayan sido dispuestos a su favor sin que se hubiera estado obligado a ello, podrán ser reintegrados con cargo a los recursos de que disponga el Fondo, sin que para el efecto se requiera operación presupuestal alguna, sino la depuración contable que aplique para evidenciar la devolución.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169.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Sociedades </w:t>
      </w:r>
      <w:proofErr w:type="spellStart"/>
      <w:r w:rsidRPr="00BC5DA9">
        <w:rPr>
          <w:rFonts w:ascii="Century Gothic" w:eastAsia="Times New Roman" w:hAnsi="Century Gothic" w:cs="Segoe UI"/>
          <w:i/>
          <w:iCs/>
          <w:lang w:eastAsia="es-MX"/>
        </w:rPr>
        <w:t>Titularizadoras</w:t>
      </w:r>
      <w:proofErr w:type="spellEnd"/>
      <w:r w:rsidRPr="00BC5DA9">
        <w:rPr>
          <w:rFonts w:ascii="Century Gothic" w:eastAsia="Times New Roman" w:hAnsi="Century Gothic" w:cs="Segoe UI"/>
          <w:lang w:eastAsia="es-MX"/>
        </w:rPr>
        <w:t xml:space="preserve">. Las sociedades </w:t>
      </w:r>
      <w:proofErr w:type="spellStart"/>
      <w:r w:rsidRPr="00BC5DA9">
        <w:rPr>
          <w:rFonts w:ascii="Century Gothic" w:eastAsia="Times New Roman" w:hAnsi="Century Gothic" w:cs="Segoe UI"/>
          <w:lang w:eastAsia="es-MX"/>
        </w:rPr>
        <w:t>titularizadoras</w:t>
      </w:r>
      <w:proofErr w:type="spellEnd"/>
      <w:r w:rsidRPr="00BC5DA9">
        <w:rPr>
          <w:rFonts w:ascii="Century Gothic" w:eastAsia="Times New Roman" w:hAnsi="Century Gothic" w:cs="Segoe UI"/>
          <w:lang w:eastAsia="es-MX"/>
        </w:rPr>
        <w:t xml:space="preserve"> creadas por el artículo 14 de la Ley 546 de 1999 podrán titularizar activos no hipotecarios según lo previsto en el artículo 72 de la Ley 1328 de 2009.</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CAPÍTULO VI</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bCs/>
          <w:lang w:eastAsia="es-MX"/>
        </w:rPr>
        <w:lastRenderedPageBreak/>
        <w:t>Crecimiento Verde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170</w:t>
      </w:r>
      <w:r w:rsidRPr="00BC5DA9">
        <w:rPr>
          <w:rFonts w:ascii="Century Gothic" w:eastAsia="Times New Roman" w:hAnsi="Century Gothic" w:cs="Segoe UI"/>
          <w:b/>
          <w:i/>
          <w:iCs/>
          <w:lang w:eastAsia="es-MX"/>
        </w:rPr>
        <w:t>.</w:t>
      </w:r>
      <w:r w:rsidRPr="00BC5DA9">
        <w:rPr>
          <w:rFonts w:ascii="Century Gothic" w:eastAsia="Times New Roman" w:hAnsi="Century Gothic" w:cs="Segoe UI"/>
          <w:i/>
          <w:iCs/>
          <w:lang w:eastAsia="es-MX"/>
        </w:rPr>
        <w:t xml:space="preserve"> Formulación de una política de crecimiento verde de largo plazo</w:t>
      </w:r>
      <w:r w:rsidRPr="00BC5DA9">
        <w:rPr>
          <w:rFonts w:ascii="Century Gothic" w:eastAsia="Times New Roman" w:hAnsi="Century Gothic" w:cs="Segoe UI"/>
          <w:lang w:eastAsia="es-MX"/>
        </w:rPr>
        <w:t>. El Gobierno nacional, a través del Departamento Nacional de Planeación en coordinación con el Ministerio de Ambiente y Desarrollo Sostenible, y con participación de los ministerios, formulará una política de crecimiento verde de largo plazo en la cual se definan los objetivos y metas de crecimiento económico sostenible. Dentro de sus estrategias se diseñará un programa de promoción de la investigación, desarrollo tecnológico e innovación para el fortalecimiento de la competitividad nacional y regional a partir de productos y actividades que contribuyan con el desarrollo sostenible y que aporten al crecimiento verde.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Asimismo, se revisarán los mecanismos e instrumentos de mercado existentes que puedan tener efectos adversos sobre el medio ambiente, con el fin de proponer su desmonte gradual y nuevos mecanismos e instrumentos de mercado que fomenten el crecimiento verde.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Ministerios de Hacienda, Agricultura y Desarrollo Rural, Minas y Energía, Transporte, Salud y Protección Social, Vivienda, Ciudad y Territorio y Comercio, Industria y Turismo, formularán e implementarán planes sectoriales de adaptación al cambio climático y planes de acción sectorial de mitigación de la Estrategia Colombiana de Desarrollo Bajo en Carbono, los cuales contendrán metas sectoriales cuantitativas de reducción de emisiones de gases de efecto invernadero a corto (año 2020) y mediano plazo (años 2025 o 2030).</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Ambiente y Desarrollo Sostenible y el Departamento Nacional de Planeación realizarán el seguimiento a los planes de adaptación y mitigación del cambio climático.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Ambiente y Desarrollo Sostenible o quien haga sus veces, diseñará y orientará la implementación de la Estrategia Nacional de Reducción de Emisiones debidas a la Deforestación y Degradación Forestal, REDD+, en coordinación con otros ministerios y entidades públicas y el sector privado en el marco de la política nacional de cambio climático.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Prevención de la deforestación de bosques naturales. </w:t>
      </w:r>
      <w:r w:rsidRPr="00BC5DA9">
        <w:rPr>
          <w:rFonts w:ascii="Century Gothic" w:eastAsia="Times New Roman" w:hAnsi="Century Gothic" w:cs="Segoe UI"/>
          <w:lang w:eastAsia="es-MX"/>
        </w:rPr>
        <w:t>El Ministerio de Ambiente y Desarrollo Sostenible elaborará una política nacional de lucha contra la deforestación que contendrá un plan de acción dirigido a evitar la pérdida de bosques naturales para el año 2030. Esta política incluirá previsiones para vincular de manera sustantiva a los sectores que actúan como motores de deforestación, incluyendo las cadenas productivas que aprovechan el bosque y sus derivados.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Esta política tendrá metas específicas con la participación de los gremios productivos, bajo la figura de acuerdos para la sostenibilidad, donde se comprometan a recuperar bosques arrasados hasta la fecha, en función de su actividad económica.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lastRenderedPageBreak/>
        <w:t>Artículo 172.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Protección de humedales</w:t>
      </w:r>
      <w:r w:rsidRPr="00BC5DA9">
        <w:rPr>
          <w:rFonts w:ascii="Century Gothic" w:eastAsia="Times New Roman" w:hAnsi="Century Gothic" w:cs="Segoe UI"/>
          <w:lang w:eastAsia="es-MX"/>
        </w:rPr>
        <w:t>. Con base en la cartografía de humedales que determine el Ministerio de Ambiente y Desarrollo Sostenible, con el aporte de los institutos de investigación adscritos o vinculados, las autoridades ambientales podrán restringir parcial o totalmente, el desarrollo de actividades agropecuarias de alto impacto, de exploración y explotación minera y de hidrocarburos, con base en estudios técnicos, económicos, sociales y ambientales, conforme a los lineamientos definidos por el Ministerio de Ambiente y Desarrollo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Ambiente y Desarrollo Sostenible establecerá un programa de monitoreo de los ecosistemas que evalúe el estado de conservación de los mismos y priorizará las acciones de manejo sobre aquellos que se definan como estratégicos. En la construcción de este plan, concurrirán los institutos de investigación adscritos o vinculados al Ministerio de Ambiente y Desarrollo Sostenible y las autoridades ambientales. Igualmente la implementación de las acciones estará a cargo de las autoridades ambientales y las entidades territoriales.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En todo caso, en humedales designados dentro de la lista de importancia internacional de la Convención RAMSAR no se podrán adelantar las actividades agropecuarias de alto impacto ambiental ni de exploración y explotación de hidrocarburos y de minerales.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Ambiente y Desarrollo Sostenible determinará la cartografía correspondiente en un plazo no mayor de dos años a partir de la promulgación de la presente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Protección y delimitación de páramos. </w:t>
      </w:r>
      <w:r w:rsidRPr="00BC5DA9">
        <w:rPr>
          <w:rFonts w:ascii="Century Gothic" w:eastAsia="Times New Roman" w:hAnsi="Century Gothic" w:cs="Segoe UI"/>
          <w:lang w:eastAsia="es-MX"/>
        </w:rPr>
        <w:t>En las áreas delimitadas como páramos no se podrán adelantar actividades agropecuarias ni de exploración o explotación de recursos naturales no renovables, ni construcción de refinerías de hidrocarburos.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Ambiente y Desarrollo Sostenible hará la delimitación de las áreas de páramos al interior del área de referencia definida en la cartografía generada por el Instituto Alexander Van Humboldt a escala 1:100.000 o 1:25.000, cuando esta última esté disponible. En esta área la autoridad ambiental regional deberá elaborar los estudios técnicos que permitan caracterizar el contexto ambiental, social y económico, de conformidad con los términos de referencia expedidos por el Ministerio de Ambiente y Desarrollo Sostenible. Al interior de dicha área, el Ministerio de Ambiente y Desarrollo Sostenible deberá delimitar el área de páramo, con base en criterios técnicos, ambientales, sociales y económicos.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Al interior del área delimitada como páramo, las actividades para la exploración y explotación de recursos naturales no renovables que cuenten con contrato y licencia ambiental con el instrumento de control y manejo ambiental equivalente, que hayan sido otorgados con anterioridad al 9 de febrero de 2010 para las actividades de minería, o con anterioridad al 16 de junio de 2011 para la actividad de hidrocarburos, respectivamente, podrán seguir ejecutándose hasta su terminación, sin posibilidad de prórroga. A partir de la entrada en vigencia de </w:t>
      </w:r>
      <w:r w:rsidRPr="00BC5DA9">
        <w:rPr>
          <w:rFonts w:ascii="Century Gothic" w:eastAsia="Times New Roman" w:hAnsi="Century Gothic" w:cs="Segoe UI"/>
          <w:lang w:eastAsia="es-MX"/>
        </w:rPr>
        <w:lastRenderedPageBreak/>
        <w:t>la presente ley, las Autoridades Ambientales deberán revisar las Licencias Ambientales otorgadas antes de 1a entrada en vigencia de la prohibición, en las áreas de páramo delimitadas y las mismas estarán sujetas a un control, seguimiento y revisión por parte de las autoridades mineras, de hidrocarburos y ambientales, en el marco de sus competencias y aplicando las directrices que para el efecto defina el Ministerio de Ambiente y Desarrollo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todo caso, el incumplimiento de los términos y condiciones en los cuales se otorgaron las autorizaciones mineras o ambientales, dará lugar a la caducidad del título minero de conformidad con lo dispuesto en el código de minas o la revocatoria directa de la licencia ambiental sin el consentimiento del titular y no habrá lugar a compensación alguna.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Si a pesar de la existencia de la licencia ambiental no es posible prevenir, mitigar, corregir o compensar los posibles daños ambientales sobre el ecosistema de páramo, la actividad minera no podrá seguir desarrollándose.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Agricultura y Desarrollo Rural y sus entidades adscritas o vinculadas y las entidades territoriales, en coordinación con las Corporaciones Autónomas Regionales, y bajo las directrices del Ministerio de Ambiente y Desarrollo Sostenible, concurrirán para diseñar, capacitar y poner en marcha programas de sustitución y reconversión de las actividades agropecuarias que se venían desarrollando con anterioridad al 16 de junio de 2011 y que se encuentren al interior del área de páramo delimitada, con el fin de garantizar de manera gradual la aplicación de la prohibición.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En el área de referencia que no sea incluida dentro del área del páramo delimitada, no estará permitido otorgar nuevos títulos mineros o suscribir nuevos contratos para la exploración y explotación de hidrocarburos, ni el desarrollo de nuevas actividades agropecuarias. Esta área será objeto de ordenamiento y manejo integral por parte de las entidades territoriales de conformidad con los lineamientos que establezcan las Corporaciones Autónomas Regionales, con el fin de atenuar y prevenir las perturbaciones sobre el área delimitada como páramo y contribuir con la protección y preservación de estas.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3°.</w:t>
      </w:r>
      <w:r w:rsidRPr="00BC5DA9">
        <w:rPr>
          <w:rFonts w:ascii="Century Gothic" w:eastAsia="Times New Roman" w:hAnsi="Century Gothic" w:cs="Segoe UI"/>
          <w:lang w:eastAsia="es-MX"/>
        </w:rPr>
        <w:t xml:space="preserve"> Dentro de los tres (3) años siguientes a la delimitación, las autoridades ambientales deberán zonificar y determinar el régimen de usos del área de páramo delimitada, de acuerdo con los lineamientos que para el efecto defina el Ministerio de Ambiente y Desarrollo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Adquisición por la Nación de Áreas o Ecosistemas de Interés Estratégico para la Conservación de los Recursos Naturales o implementación de esquemas de pago por servicios ambientales u otros incentivos económicos. </w:t>
      </w:r>
      <w:r w:rsidRPr="00BC5DA9">
        <w:rPr>
          <w:rFonts w:ascii="Century Gothic" w:eastAsia="Times New Roman" w:hAnsi="Century Gothic" w:cs="Segoe UI"/>
          <w:lang w:eastAsia="es-MX"/>
        </w:rPr>
        <w:t>Modifíquese el artículo 108 de la Ley 99 de 1993,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108. </w:t>
      </w:r>
      <w:r w:rsidRPr="00BC5DA9">
        <w:rPr>
          <w:rFonts w:ascii="Century Gothic" w:eastAsia="Times New Roman" w:hAnsi="Century Gothic" w:cs="Segoe UI"/>
          <w:b/>
          <w:bCs/>
          <w:i/>
          <w:iCs/>
          <w:lang w:eastAsia="es-MX"/>
        </w:rPr>
        <w:t xml:space="preserve">Adquisición por la Nación de Áreas o Ecosistemas de Interés Estratégico para la Conservación de los Recursos Naturales o implementación de esquemas de pago por servicios ambientales u otros incentivos </w:t>
      </w:r>
      <w:r w:rsidRPr="00BC5DA9">
        <w:rPr>
          <w:rFonts w:ascii="Century Gothic" w:eastAsia="Times New Roman" w:hAnsi="Century Gothic" w:cs="Segoe UI"/>
          <w:b/>
          <w:bCs/>
          <w:i/>
          <w:iCs/>
          <w:lang w:eastAsia="es-MX"/>
        </w:rPr>
        <w:lastRenderedPageBreak/>
        <w:t xml:space="preserve">económicos. </w:t>
      </w:r>
      <w:r w:rsidRPr="00BC5DA9">
        <w:rPr>
          <w:rFonts w:ascii="Century Gothic" w:eastAsia="Times New Roman" w:hAnsi="Century Gothic" w:cs="Segoe UI"/>
          <w:lang w:eastAsia="es-MX"/>
        </w:rPr>
        <w:t>Las autoridades ambientales en coordinación y con el apoyo de las entidades territoriales adelantarán los planes de cofinanciación necesarios para adquirir áreas o ecosistemas estratégicos para la conservación, preservación y recuperación de los recursos naturales o implementarán en ellas esquemas de pago por servicios ambientales u otros incentivos económicos para la conservación, con base en la reglamentación expedida por el Gobierno nacional.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La definición de estas áreas y los procesos de adquisición, conservación y administración deberán hacerse con la activa participación de la sociedad civil.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Los esquemas de pago por servicios ambientales de que trata el presente artículo, además podrán ser financiados con recursos provenientes de los artículos 43 y 45 de la Ley 99 de 1993, de conformidad con el plan de ordenación y manejo de la cuenca respectiva. Así mismo, podrá aplicarse la inversión forzosa de que trata el parágrafo 1° del artículo 43, las compensaciones por pérdida de biodiversidad en el marco de la licencia ambiental y el Certificado de Incentivo Forestal con fines de conservación a que se refiere el parágrafo del </w:t>
      </w:r>
      <w:hyperlink r:id="rId8" w:tooltip="Estatuto Tributario CETA" w:history="1">
        <w:r w:rsidRPr="00BC5DA9">
          <w:rPr>
            <w:rFonts w:ascii="Century Gothic" w:eastAsia="Times New Roman" w:hAnsi="Century Gothic" w:cs="Segoe UI"/>
            <w:lang w:eastAsia="es-MX"/>
          </w:rPr>
          <w:t>artículo 253</w:t>
        </w:r>
      </w:hyperlink>
      <w:r w:rsidRPr="00BC5DA9">
        <w:rPr>
          <w:rFonts w:ascii="Century Gothic" w:eastAsia="Times New Roman" w:hAnsi="Century Gothic" w:cs="Segoe UI"/>
          <w:lang w:eastAsia="es-MX"/>
        </w:rPr>
        <w:t xml:space="preserve"> del Estatuto Tributario.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Dentro del término de un año a partir de la entrada en vigencia de la presente ley el Ministerio de Ambiente y Desarrollo Sostenible presentará al Congreso de la República un proyecto de ley que establezca los términos, condiciones, procedimientos y fuentes de financiación para la implementación de Pagos por Servicios Ambientales (PSA), y otros incentivos a la conservación.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El Ministerio de Ambiente y Desarrollo Sostenible creará el Registro Único de Ecosistemas y Áreas Ambientales, con excepción de las áreas protegidas registradas en el Registro Único Nacional de Áreas Protegidas (</w:t>
      </w:r>
      <w:proofErr w:type="spellStart"/>
      <w:r w:rsidRPr="00BC5DA9">
        <w:rPr>
          <w:rFonts w:ascii="Century Gothic" w:eastAsia="Times New Roman" w:hAnsi="Century Gothic" w:cs="Segoe UI"/>
          <w:lang w:eastAsia="es-MX"/>
        </w:rPr>
        <w:t>Runap</w:t>
      </w:r>
      <w:proofErr w:type="spellEnd"/>
      <w:r w:rsidRPr="00BC5DA9">
        <w:rPr>
          <w:rFonts w:ascii="Century Gothic" w:eastAsia="Times New Roman" w:hAnsi="Century Gothic" w:cs="Segoe UI"/>
          <w:lang w:eastAsia="es-MX"/>
        </w:rPr>
        <w:t xml:space="preserve">) como parte de los sistemas de información del Sistema Nacional Ambiental (SINA) en un término de un año a partir de la expedición de la presente ley. Harán parte del Registro Único de Ecosistemas y Áreas Ambientales áreas tales como los ecosistemas estratégicos, páramos, humedales y las demás categorías de protección ambiental que no se encuentren registradas en el </w:t>
      </w:r>
      <w:proofErr w:type="spellStart"/>
      <w:r w:rsidRPr="00BC5DA9">
        <w:rPr>
          <w:rFonts w:ascii="Century Gothic" w:eastAsia="Times New Roman" w:hAnsi="Century Gothic" w:cs="Segoe UI"/>
          <w:lang w:eastAsia="es-MX"/>
        </w:rPr>
        <w:t>Runap</w:t>
      </w:r>
      <w:proofErr w:type="spellEnd"/>
      <w:r w:rsidRPr="00BC5DA9">
        <w:rPr>
          <w:rFonts w:ascii="Century Gothic" w:eastAsia="Times New Roman" w:hAnsi="Century Gothic" w:cs="Segoe UI"/>
          <w:lang w:eastAsia="es-MX"/>
        </w:rPr>
        <w:t>. El Ministerio de Ambiente y Desarrollo Sostenible reglamentará el funcionamiento del Registro Único de Ecosistemas y Áreas Ambientales, los ecosistemas y áreas que pertenecen al mismo, su administración, actualización anual para efectos de las políticas ambientales de implementación de Pagos por Servicios Ambientales (PSA) y otros incentivos a la conservación para los municipios como reconocimiento a los beneficios generados por las áreas de conservación registradas en su jurisdicción”.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xml:space="preserve">Artículo 175. </w:t>
      </w:r>
      <w:r w:rsidRPr="00BC5DA9">
        <w:rPr>
          <w:rFonts w:ascii="Century Gothic" w:eastAsia="Times New Roman" w:hAnsi="Century Gothic" w:cs="Segoe UI"/>
          <w:i/>
          <w:iCs/>
          <w:lang w:eastAsia="es-MX"/>
        </w:rPr>
        <w:t xml:space="preserve">Registro Nacional de Reducción de las Emisiones de Gases de Efecto Invernadero. </w:t>
      </w:r>
      <w:r w:rsidRPr="00BC5DA9">
        <w:rPr>
          <w:rFonts w:ascii="Century Gothic" w:eastAsia="Times New Roman" w:hAnsi="Century Gothic" w:cs="Segoe UI"/>
          <w:lang w:eastAsia="es-MX"/>
        </w:rPr>
        <w:t xml:space="preserve">Créase el Registro Nacional de Reducción de las Emisiones de Gases de Efecto Invernadero (GEI), del cual hará parte el Registro Nacional de Programas y Proyectos de acciones para la Reducción de las Emisiones debidas a la Deforestación y la Degradación Forestal de Colombia (-REDD+). Estos serán </w:t>
      </w:r>
      <w:r w:rsidRPr="00BC5DA9">
        <w:rPr>
          <w:rFonts w:ascii="Century Gothic" w:eastAsia="Times New Roman" w:hAnsi="Century Gothic" w:cs="Segoe UI"/>
          <w:lang w:eastAsia="es-MX"/>
        </w:rPr>
        <w:lastRenderedPageBreak/>
        <w:t>reglamentados y administrados por el Ministerio de Ambiente y Desarrollo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Toda persona, natural o jurídica, pública o privada que pretenda optar a pagos por resultados o compensaciones similares como consecuencia de acciones que generen reducciones de emisiones de GEI, deberá obtener previamente el registro de que trata el inciso anterior, conforme a la reglamentación que para tal efecto expida el Ministerio de Ambiente y Desarrollo Sostenible. Este a su vez reglamentará el sistema de contabilidad de reducción y remoción de emisiones y el sistema de monitoreo, reporte y verificación de las acciones de mitigación a nivel nacional y definirá los niveles de referencia de las emisiones debidas a la deforestación y la degradación forestal.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Las emisiones reducidas que acredite el Ministerio de Ambiente y Desarrollo Sostenible en el marco de programas nacionales o </w:t>
      </w:r>
      <w:proofErr w:type="spellStart"/>
      <w:r w:rsidRPr="00BC5DA9">
        <w:rPr>
          <w:rFonts w:ascii="Century Gothic" w:eastAsia="Times New Roman" w:hAnsi="Century Gothic" w:cs="Segoe UI"/>
          <w:lang w:eastAsia="es-MX"/>
        </w:rPr>
        <w:t>subnacionales</w:t>
      </w:r>
      <w:proofErr w:type="spellEnd"/>
      <w:r w:rsidRPr="00BC5DA9">
        <w:rPr>
          <w:rFonts w:ascii="Century Gothic" w:eastAsia="Times New Roman" w:hAnsi="Century Gothic" w:cs="Segoe UI"/>
          <w:lang w:eastAsia="es-MX"/>
        </w:rPr>
        <w:t xml:space="preserve"> de reducción de emisiones de GEI, no podrán ser posteriormente ofertadas a través de proyectos en el mercado.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Comisiones conjuntas </w:t>
      </w:r>
      <w:proofErr w:type="spellStart"/>
      <w:r w:rsidRPr="00BC5DA9">
        <w:rPr>
          <w:rFonts w:ascii="Century Gothic" w:eastAsia="Times New Roman" w:hAnsi="Century Gothic" w:cs="Segoe UI"/>
          <w:i/>
          <w:iCs/>
          <w:lang w:eastAsia="es-MX"/>
        </w:rPr>
        <w:t>Pomca</w:t>
      </w:r>
      <w:proofErr w:type="spellEnd"/>
      <w:r w:rsidRPr="00BC5DA9">
        <w:rPr>
          <w:rFonts w:ascii="Century Gothic" w:eastAsia="Times New Roman" w:hAnsi="Century Gothic" w:cs="Segoe UI"/>
          <w:i/>
          <w:iCs/>
          <w:lang w:eastAsia="es-MX"/>
        </w:rPr>
        <w:t xml:space="preserve">. </w:t>
      </w:r>
      <w:r w:rsidRPr="00BC5DA9">
        <w:rPr>
          <w:rFonts w:ascii="Century Gothic" w:eastAsia="Times New Roman" w:hAnsi="Century Gothic" w:cs="Segoe UI"/>
          <w:lang w:eastAsia="es-MX"/>
        </w:rPr>
        <w:t>Modifíquese el artículo 212 de la Ley 1450 de 2011,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212. </w:t>
      </w:r>
      <w:r w:rsidRPr="00BC5DA9">
        <w:rPr>
          <w:rFonts w:ascii="Century Gothic" w:eastAsia="Times New Roman" w:hAnsi="Century Gothic" w:cs="Segoe UI"/>
          <w:b/>
          <w:bCs/>
          <w:i/>
          <w:iCs/>
          <w:lang w:eastAsia="es-MX"/>
        </w:rPr>
        <w:t xml:space="preserve">De las comisiones conjuntas. </w:t>
      </w:r>
      <w:r w:rsidRPr="00BC5DA9">
        <w:rPr>
          <w:rFonts w:ascii="Century Gothic" w:eastAsia="Times New Roman" w:hAnsi="Century Gothic" w:cs="Segoe UI"/>
          <w:lang w:eastAsia="es-MX"/>
        </w:rPr>
        <w:t>El Ministerio de Ambiente y Desarrollo Sostenible podrá integrar y presidir las Comisiones Conjuntas de los Planes de Ordenación y Manejo de la Cuenca Hidrográfica de que trata el parágrafo 3° del artículo 33 de la Ley 99 de 1993, cuando por razones de orden ambiental, social o económico así lo justifiquen. Para el efecto, comunicará a la Comisión Conjunta su decisión de integración o retiro en el momento en que corresponda.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En los casos en los que el Ministerio de Ambiente y Desarrollo Sostenible no integre la Comisión Conjunta, las Autoridades Ambientales designarán quién la preside”.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Certificado del Incentivo Forestal. </w:t>
      </w:r>
      <w:r w:rsidRPr="00BC5DA9">
        <w:rPr>
          <w:rFonts w:ascii="Century Gothic" w:eastAsia="Times New Roman" w:hAnsi="Century Gothic" w:cs="Segoe UI"/>
          <w:lang w:eastAsia="es-MX"/>
        </w:rPr>
        <w:t>Modifíquese el artículo 3° y adiciónese un parágrafo al artículo 6° de la Ley 139 de 1994, los cuales quedarán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3°. </w:t>
      </w:r>
      <w:r w:rsidRPr="00BC5DA9">
        <w:rPr>
          <w:rFonts w:ascii="Century Gothic" w:eastAsia="Times New Roman" w:hAnsi="Century Gothic" w:cs="Segoe UI"/>
          <w:b/>
          <w:bCs/>
          <w:i/>
          <w:iCs/>
          <w:lang w:eastAsia="es-MX"/>
        </w:rPr>
        <w:t xml:space="preserve">Naturaleza. </w:t>
      </w:r>
      <w:r w:rsidRPr="00BC5DA9">
        <w:rPr>
          <w:rFonts w:ascii="Century Gothic" w:eastAsia="Times New Roman" w:hAnsi="Century Gothic" w:cs="Segoe UI"/>
          <w:lang w:eastAsia="es-MX"/>
        </w:rPr>
        <w:t xml:space="preserve">El Certificado de Incentivo Forestal (CIF), es el documento otorgado por la entidad competente para el manejo y administración de los recursos naturales renovables y del medio ambiente que da derecho a la persona beneficiaria a obtener directamente al momento de su presentación, por una sola vez y en las fechas, términos y condiciones que específicamente se determinen, las sumas de dinero que se fijen conforme al artículo siguiente, por parte de la entidad bancaria que haya sido autorizada para el efecto por </w:t>
      </w:r>
      <w:proofErr w:type="spellStart"/>
      <w:r w:rsidRPr="00BC5DA9">
        <w:rPr>
          <w:rFonts w:ascii="Century Gothic" w:eastAsia="Times New Roman" w:hAnsi="Century Gothic" w:cs="Segoe UI"/>
          <w:lang w:eastAsia="es-MX"/>
        </w:rPr>
        <w:t>Finagro</w:t>
      </w:r>
      <w:proofErr w:type="spellEnd"/>
      <w:r w:rsidRPr="00BC5DA9">
        <w:rPr>
          <w:rFonts w:ascii="Century Gothic" w:eastAsia="Times New Roman" w:hAnsi="Century Gothic" w:cs="Segoe UI"/>
          <w:lang w:eastAsia="es-MX"/>
        </w:rPr>
        <w:t xml:space="preserve">. El Certificado es personal y no negociable, excepto cuando el incentivo se constituya como colateral del pago de un crédito para la financiación de proyectos productivos forestales y/o </w:t>
      </w:r>
      <w:proofErr w:type="spellStart"/>
      <w:r w:rsidRPr="00BC5DA9">
        <w:rPr>
          <w:rFonts w:ascii="Century Gothic" w:eastAsia="Times New Roman" w:hAnsi="Century Gothic" w:cs="Segoe UI"/>
          <w:lang w:eastAsia="es-MX"/>
        </w:rPr>
        <w:t>silvopastoriles</w:t>
      </w:r>
      <w:proofErr w:type="spellEnd"/>
      <w:r w:rsidRPr="00BC5DA9">
        <w:rPr>
          <w:rFonts w:ascii="Century Gothic" w:eastAsia="Times New Roman" w:hAnsi="Century Gothic" w:cs="Segoe UI"/>
          <w:lang w:eastAsia="es-MX"/>
        </w:rPr>
        <w:t xml:space="preserve">, de </w:t>
      </w:r>
      <w:r w:rsidRPr="00BC5DA9">
        <w:rPr>
          <w:rFonts w:ascii="Century Gothic" w:eastAsia="Times New Roman" w:hAnsi="Century Gothic" w:cs="Segoe UI"/>
          <w:lang w:eastAsia="es-MX"/>
        </w:rPr>
        <w:lastRenderedPageBreak/>
        <w:t>acuerdo con la reglamentación que para el efecto expida el Gobierno nacional.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Cuando el objeto del CIF sea la reforestación con fines comerciales, será otorgado por el Ministerio de Agricultura y Desarrollo Rural en concordancia con lo dispuesto en el artículo 75 de la Ley 1328 de 2009”.</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6°. </w:t>
      </w:r>
      <w:r w:rsidRPr="00BC5DA9">
        <w:rPr>
          <w:rFonts w:ascii="Century Gothic" w:eastAsia="Times New Roman" w:hAnsi="Century Gothic" w:cs="Segoe UI"/>
          <w:lang w:eastAsia="es-MX"/>
        </w:rPr>
        <w:t>(...)</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Los recursos del Certificado de Incentivo Forestal (CIF), serán distribuidos regionalmente conforme a lo aprobado por el Consejo Directivo del CIF, que deberá garantizar porcentualmente la adecuada participación del pequeño </w:t>
      </w:r>
      <w:proofErr w:type="spellStart"/>
      <w:r w:rsidRPr="00BC5DA9">
        <w:rPr>
          <w:rFonts w:ascii="Century Gothic" w:eastAsia="Times New Roman" w:hAnsi="Century Gothic" w:cs="Segoe UI"/>
          <w:lang w:eastAsia="es-MX"/>
        </w:rPr>
        <w:t>reforestador</w:t>
      </w:r>
      <w:proofErr w:type="spellEnd"/>
      <w:r w:rsidRPr="00BC5DA9">
        <w:rPr>
          <w:rFonts w:ascii="Century Gothic" w:eastAsia="Times New Roman" w:hAnsi="Century Gothic" w:cs="Segoe UI"/>
          <w:lang w:eastAsia="es-MX"/>
        </w:rPr>
        <w:t xml:space="preserve"> en dicha asignación. Esta distribución se efectuará hasta los montos presupuestales disponibles.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Entiéndase como pequeño </w:t>
      </w:r>
      <w:proofErr w:type="spellStart"/>
      <w:r w:rsidRPr="00BC5DA9">
        <w:rPr>
          <w:rFonts w:ascii="Century Gothic" w:eastAsia="Times New Roman" w:hAnsi="Century Gothic" w:cs="Segoe UI"/>
          <w:lang w:eastAsia="es-MX"/>
        </w:rPr>
        <w:t>reforestador</w:t>
      </w:r>
      <w:proofErr w:type="spellEnd"/>
      <w:r w:rsidRPr="00BC5DA9">
        <w:rPr>
          <w:rFonts w:ascii="Century Gothic" w:eastAsia="Times New Roman" w:hAnsi="Century Gothic" w:cs="Segoe UI"/>
          <w:lang w:eastAsia="es-MX"/>
        </w:rPr>
        <w:t xml:space="preserve"> aquel que desarrolle un proyecto de establecimiento y manejo forestal en un área hasta de 500 hectáreas”.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bCs/>
          <w:lang w:eastAsia="es-MX"/>
        </w:rPr>
        <w:t xml:space="preserve">Artículo 178. </w:t>
      </w:r>
      <w:r w:rsidRPr="00BC5DA9">
        <w:rPr>
          <w:rFonts w:ascii="Century Gothic" w:eastAsia="Times New Roman" w:hAnsi="Century Gothic" w:cs="Segoe UI"/>
          <w:i/>
          <w:iCs/>
          <w:lang w:eastAsia="es-MX"/>
        </w:rPr>
        <w:t xml:space="preserve">Estudio de impacto ambiental. </w:t>
      </w:r>
      <w:r w:rsidRPr="00BC5DA9">
        <w:rPr>
          <w:rFonts w:ascii="Century Gothic" w:eastAsia="Times New Roman" w:hAnsi="Century Gothic" w:cs="Segoe UI"/>
          <w:lang w:eastAsia="es-MX"/>
        </w:rPr>
        <w:t>Modifíquese el artículo 57 de la Ley 99 de 1993, modificado por el artículo 223 de la Ley 1450 de 2011,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57. </w:t>
      </w:r>
      <w:r w:rsidRPr="00BC5DA9">
        <w:rPr>
          <w:rFonts w:ascii="Century Gothic" w:eastAsia="Times New Roman" w:hAnsi="Century Gothic" w:cs="Segoe UI"/>
          <w:b/>
          <w:bCs/>
          <w:i/>
          <w:iCs/>
          <w:lang w:eastAsia="es-MX"/>
        </w:rPr>
        <w:t xml:space="preserve">Estudio de impacto ambiental. </w:t>
      </w:r>
      <w:r w:rsidRPr="00BC5DA9">
        <w:rPr>
          <w:rFonts w:ascii="Century Gothic" w:eastAsia="Times New Roman" w:hAnsi="Century Gothic" w:cs="Segoe UI"/>
          <w:lang w:eastAsia="es-MX"/>
        </w:rPr>
        <w:t>Se entiende por estudio de impacto ambiental, el conjunto de información que debe presentar ante la autoridad ambiental competente el interesado en el otorgamiento de una licencia ambiental.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El estudio de impacto ambiental contendrá información sobre la localización del proyecto, los elementos abióticos, bióticos, y socioeconómicos del medio que puedan sufrir deterioro por la respectiva obra o actividad, para cuya ejecución se pide la licencia, y la evaluación de los impactos que puedan producirse. Además, incluirá el diseño de los planes de prevención, mitigación, corrección y compensación de impactos, así como el plan de manejo ambiental de la obra o actividad.</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Ambiente y Desarrollo Sostenible expedirá los términos de referencia genéricos para la elaboración del estudio de impacto ambiental; sin embargo, las autoridades ambientales los fijarán de forma específica dentro de los quince (15) días hábiles siguientes a la radicación de la solicitud en ausencia de los primeros”.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179.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Procedimiento para el otorgamiento de licencias ambientales.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Modifíquese el artículo 58 de la Ley 99 de 1993, modificado por el artículo 224 de la Ley 1450 de 2011,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58. </w:t>
      </w:r>
      <w:r w:rsidRPr="00BC5DA9">
        <w:rPr>
          <w:rFonts w:ascii="Century Gothic" w:eastAsia="Times New Roman" w:hAnsi="Century Gothic" w:cs="Segoe UI"/>
          <w:b/>
          <w:bCs/>
          <w:i/>
          <w:iCs/>
          <w:lang w:eastAsia="es-MX"/>
        </w:rPr>
        <w:t xml:space="preserve">Procedimiento para el otorgamiento de licencias ambientales. </w:t>
      </w:r>
      <w:r w:rsidRPr="00BC5DA9">
        <w:rPr>
          <w:rFonts w:ascii="Century Gothic" w:eastAsia="Times New Roman" w:hAnsi="Century Gothic" w:cs="Segoe UI"/>
          <w:lang w:eastAsia="es-MX"/>
        </w:rPr>
        <w:t xml:space="preserve">El interesado en el otorgamiento de una licencia ambiental presentará ante la </w:t>
      </w:r>
      <w:r w:rsidRPr="00BC5DA9">
        <w:rPr>
          <w:rFonts w:ascii="Century Gothic" w:eastAsia="Times New Roman" w:hAnsi="Century Gothic" w:cs="Segoe UI"/>
          <w:lang w:eastAsia="es-MX"/>
        </w:rPr>
        <w:lastRenderedPageBreak/>
        <w:t>autoridad ambiental competente una solicitud que deberá ser acompañada del correspondiente estudio de impacto ambiental para su evaluación.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A partir de la fecha de radicación de la solicitud con el lleno de los requisitos exigidos, la autoridad ambiental competente procederá de manera inmediata a expedir el acto administrativo que dé inicio al trámite de licencia ambiental.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Expedido el acto administrativo de inicio trámite y dentro de los veinte (20) días hábiles siguientes, la autoridad ambiental competente evaluará que el estudio ambiental presentado se ajuste a los requisitos mínimos contenidos en el Manual de Evaluación de Estudios Ambientales y realizará visita a los proyectos, cuando la naturaleza de los mismos lo requieran.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Cuando no se requiera visita a los proyectos y agotado el término indicado en el inciso precedente, la autoridad ambiental competente dispondrá de diez (10) días hábiles para convocar mediante oficio una reunión con el fin de solicitar por una única vez la información adicional que se considere pertinente.</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Las decisiones tomadas en la reunión de información adicional serán notificadas en la misma, contra estas procederá el recurso de reposición que se resolverá de plano en dicha reunión, de todo lo cual se dejará constancia en el acta respectiva.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Una vez en firme la decisión sobre información adicional, el interesado contará con el término de un (1) mes para allegar la información requerida. Allegada la información por parte del interesado, la autoridad ambiental competente dispondrá de diez (10) días hábiles adicionales para solicitar a otras entidades o autoridades los conceptos técnicos o informaciones que estime pertinentes para resolver la solicitud, y estos deberán ser remitidos por las entidades o autoridades requeridas en un plazo no mayor a veinte (20) días hábiles.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Vencido el término anterior la autoridad ambiental contará con treinta (30) días hábiles para expedir el acto administrativo que declare reunida toda la información requerida, así como para expedir la resolución que otorgue o niega la licencia ambiental. Tal decisión deberá ser notificada de conformidad con lo dispuesto en la Ley 1437 de 2011, o aquella que la modifique o sustituya, y publicada en el boletín de la autoridad ambiental en los términos del artículo 71 de la Ley 99 de 1993”.</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CAPÍTULO VII</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bCs/>
          <w:lang w:eastAsia="es-MX"/>
        </w:rPr>
        <w:t>Estrategia Territorial: Ejes articuladores del desarrollo y prioridades para la gestión territorial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180.</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Programa Nacional de Delegación de Competencias Diferenciadas. </w:t>
      </w:r>
      <w:r w:rsidRPr="00BC5DA9">
        <w:rPr>
          <w:rFonts w:ascii="Century Gothic" w:eastAsia="Times New Roman" w:hAnsi="Century Gothic" w:cs="Segoe UI"/>
          <w:lang w:eastAsia="es-MX"/>
        </w:rPr>
        <w:t xml:space="preserve">Con el propósito de asegurar una prestación más eficiente de los bienes y servicios a cargo del Estado y crear esquemas de distribución de competencias, </w:t>
      </w:r>
      <w:r w:rsidRPr="00BC5DA9">
        <w:rPr>
          <w:rFonts w:ascii="Century Gothic" w:eastAsia="Times New Roman" w:hAnsi="Century Gothic" w:cs="Segoe UI"/>
          <w:lang w:eastAsia="es-MX"/>
        </w:rPr>
        <w:lastRenderedPageBreak/>
        <w:t>créase el Programa Nacional de Delegación de Competencias Diferenciadas (PNCD), el cual estará a cargo del Departamento Nacional de Planeación, en coordinación con el Ministerio del Interior, Ministerio de Hacienda y Crédito Público y las entidades sectoriales.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Programa contendrá el marco de criterios para la delegación de funciones conforme al convenio que para tal efecto se suscriba. Los convenios se suscribirán entre las entidades del orden nacional, en calidad de delegantes, y las entidades territoriales, esquemas asociativos territoriales, la RAPE, áreas metropolitanas, conglomerados urbanos, o autoridades regionales que se constituyan para tal fin, en calidad de delegatarios. El Programa incluirá los parámetros de acreditación de capacidad financiera, técnica, regulatoria e institucional de las entidades o autoridades delegatarias. En el marco del programa, el Gobierno Nacional propondrá a dichas entidades y autoridades esquemas de distribución de competencias, las cuales quedarán plasmadas en los convenios que para tal efecto se suscriban entre entidades delegantes y delegatarias, de acuerdo con lo previsto en la Ley 1454 de 2011.</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Departamento Nacional de Planeación, en coordinación con los sectores, definirá los mecanismos de seguimiento, control y evaluación de las competencias descentralizadas y/o delegadas por el Gobierno nacional, los cuales obedecerán a criterios técnicos, objetivos, medibles y comprobables.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Dentro del PNCD, se priorizarán las acciones que permitan la implementación de la política pública dirigida a las víctimas del conflicto armado desde lo territorial, las cuales serán diseñadas por el Ministerio del Interior y el Departamento Nacional de Planeación, en coordinación con la Unidad Especial para la Atención y Reparación Integral a las Víctimas.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Serán susceptibles de delegación, conforme a la normatividad vigente, aquellas competencias y funciones de nivel nacional en políticas y estrategias con impacto territorial tendientes al cierre de brechas socioeconómicas, </w:t>
      </w:r>
      <w:proofErr w:type="spellStart"/>
      <w:r w:rsidRPr="00BC5DA9">
        <w:rPr>
          <w:rFonts w:ascii="Century Gothic" w:eastAsia="Times New Roman" w:hAnsi="Century Gothic" w:cs="Segoe UI"/>
          <w:lang w:eastAsia="es-MX"/>
        </w:rPr>
        <w:t>intra</w:t>
      </w:r>
      <w:proofErr w:type="spellEnd"/>
      <w:r w:rsidRPr="00BC5DA9">
        <w:rPr>
          <w:rFonts w:ascii="Century Gothic" w:eastAsia="Times New Roman" w:hAnsi="Century Gothic" w:cs="Segoe UI"/>
          <w:lang w:eastAsia="es-MX"/>
        </w:rPr>
        <w:t xml:space="preserve"> e interregionales que promuevan la convergencia regional, como aquellas dirigidas a promover el desarrollo productivo, la competitividad e infraestructura física y social, la generación de ingresos, la planificación y la gestión territorial, incluida la formación, actualización, conservación catastral e implementación de catastros multipropósito descentralizados, de que trata la presente ley, en municipios, distritos y áreas metropolitanas con población superior a 500.000 habitantes.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Las entidades territoriales interesadas deberán acreditar, conforme a las disposiciones que el Gobierno nacional establezca para el efecto, el cumplimiento de las capacidades requeridas y se sujetarán en su operación a las disposiciones que sobre la materia adopte la autoridad catastral del orden nacional, entidad que, en todo caso, podrá requerir a las autoridades catastrales descentralizadas que hayan asumido competencias delegadas en materia catastral, para cumplir la normatividad y demás lineamientos técnicos que se adopten en materia catastral, encontrándose facultada para imponer sanciones, </w:t>
      </w:r>
      <w:r w:rsidRPr="00BC5DA9">
        <w:rPr>
          <w:rFonts w:ascii="Century Gothic" w:eastAsia="Times New Roman" w:hAnsi="Century Gothic" w:cs="Segoe UI"/>
          <w:lang w:eastAsia="es-MX"/>
        </w:rPr>
        <w:lastRenderedPageBreak/>
        <w:t>reasumir temporal o definitivamente las competencias delegadas en los municipios, distritos o áreas metropolitanas respectivas.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Mecanismos estratégicos nacionales, binacionales o multilaterales. </w:t>
      </w:r>
      <w:r w:rsidRPr="00BC5DA9">
        <w:rPr>
          <w:rFonts w:ascii="Century Gothic" w:eastAsia="Times New Roman" w:hAnsi="Century Gothic" w:cs="Segoe UI"/>
          <w:lang w:eastAsia="es-MX"/>
        </w:rPr>
        <w:t>Como parte del desarrollo de mecanismos nacionales, binacionales o multilaterales que permitan la ejecución de programas, proyectos e iniciativas estratégicas para el desarrollo transfronterizo binacional o multilateral, el Gobierno nacional podrá constituir e implementar fondos públicos de carácter nacional, binacional o multilateral. Para el efecto ambos Estados podrán designar un organismo multilateral.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Estos fondos no corresponderán a los descritos en el artículo 30 del Estatuto Orgánico de Presupuesto.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organismo multilateral quedará facultado para gestionar, recibir y administrar recursos provenientes de diferentes fuentes, incluyendo recursos públicos y privados de origen nacional o internacional.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Regiones con características especiales de transporte</w:t>
      </w:r>
      <w:r w:rsidRPr="00BC5DA9">
        <w:rPr>
          <w:rFonts w:ascii="Century Gothic" w:eastAsia="Times New Roman" w:hAnsi="Century Gothic" w:cs="Segoe UI"/>
          <w:lang w:eastAsia="es-MX"/>
        </w:rPr>
        <w:t>. Con el objeto de formalizar la prestación del servicio público de transporte de pasajeros y garantizar las condiciones de seguridad y accesibilidad del mismo, créanse las Zonas Estratégicas para el Transporte (ZET), constituidas por un municipio y/o grupos de municipios de las zonas de frontera, donde no exista Sistema de Transporte Masivo, Sistema Integrado de Transporte Público o Sistema Estratégico de Transporte Público, cuya extensión geográfica será determinada por el Gobierno nacional. El Gobierno nacional y los Gobiernos locales, en forma coordinada, podrán expedir reglamentos de carácter especial y transitorio en materia de servicio público de transporte con aplicación exclusiva en las ZET tendientes a cumplir las finalidades antes mencionadas.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Ministerio de Transporte con el fin de proteger el medio ambiente, la seguridad de las personas en la vía pública, en espacios terrestres o marinos, la sostenibilidad económica del Archipiélago de San Andrés, Providencia y Santa Catalina y el bienestar de los residentes y turistas que visitan las islas, previo concepto del Ministerio de Ambiente y Desarrollo Sostenible, determinará la cantidad de vehículos y tipo y edad de los mismos, que podrán ingresar, ser matriculados y/o transitar en el Departamento Archipiélago de San Andrés, Providencia y Santa Catalina. El Ministerio de Transporte reglamentará los mecanismos para la asignación de las matrículas de nuevos vehículos o reposición de los actuales, mediante procesos competitivos, tales como subastas, que promuevan la transparencia y permitan capturar la disposición a pagar de los usuarios por dicha matrícula. Dicho mecanismo será administrado por la Gobernación.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todo caso, las medidas que se adopten en desarrollo de este artículo no podrán ser incompatibles con los compromisos de Colombia de conformidad con los acuerdos comerciales internacionales vigentes.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lastRenderedPageBreak/>
        <w:t>Artículo 183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Autoridades regionales de transporte. </w:t>
      </w:r>
      <w:r w:rsidRPr="00BC5DA9">
        <w:rPr>
          <w:rFonts w:ascii="Century Gothic" w:eastAsia="Times New Roman" w:hAnsi="Century Gothic" w:cs="Segoe UI"/>
          <w:lang w:eastAsia="es-MX"/>
        </w:rPr>
        <w:t>El Gobierno nacional, a solicitud de las entidades territoriales, podrá crear y fortalecer Autoridades Regionales de Transporte en las aglomeraciones urbanas o en aquellos municipios cuya movilidad urbana se desarrolle más allá de sus propios límites jurisdiccionales.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Para tal efecto, las entidades territoriales interesadas deberán constituir previamente esquemas asociativos territoriales, en concordancia con el artículo 10 de la Ley 1454 de 2011. La Autoridad Regional de Transporte, será la encargada de regular el servicio de transporte público de pasajeros, otorgar permisos y habilitaciones, integrar operacional y tarifariamente los diferentes modos y modalidades, y garantizar la articulación de planes, programas y proyectos contenidos en los Planes Maestros de Movilidad de cada uno de los municipios, así como los incluidos en sus instrumentos de planeación territorial que influyan en la organización de la movilidad y el transporte, de acuerdo con los lineamientos del Ministerio de Transporte.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Las entidades territoriales, con el acompañamiento del Ministerio de Vivienda, Ciudad y Territorio, el Departamento Nacional de Planeación y el Ministerio de Transporte definirán las directrices de ordenamiento regional en concordancia con los instrumentos normativos existentes, con el fin de contar con un marco de acción que contemple estrategias regionales integrales que permitan formular, a su vez, las propuestas de movilidad regional que deberán ser desarrolladas por la Autoridad Regional de Transporte.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Implementación de los Centros Integrados de Servicio (SI) y modelo de operación en Centros Binacionales de Atención en Frontera (CEBAF), Centros Nacionales de Atención de Fronteras (CENAF) y pasos de frontera. </w:t>
      </w:r>
      <w:r w:rsidRPr="00BC5DA9">
        <w:rPr>
          <w:rFonts w:ascii="Century Gothic" w:eastAsia="Times New Roman" w:hAnsi="Century Gothic" w:cs="Segoe UI"/>
          <w:lang w:eastAsia="es-MX"/>
        </w:rPr>
        <w:t>El Departamento Nacional de Planeación implementará los Centros Integrados de Servicio (SI) en los que harán presencia entidades del orden nacional, departamental y municipal, que adoptarán estándares que garanticen al ciudadano un trato amable, digno y eficiente. Así mismo, el modelo de operación y el funcionamiento de los Centros Binacionales de Atención en Frontera (CEBAF) de los Centros Nacionales de Atención de Fronteras (CENAF) será el establecido por el Programa Nacional de Servicio al Ciudadano del Departamento Nacional de Planeación, quien coordinará y articulará a las entidades que presten sus servicios en dichos centros.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Fondo para el desarrollo del Plan Todos Somos </w:t>
      </w:r>
      <w:proofErr w:type="spellStart"/>
      <w:r w:rsidRPr="00BC5DA9">
        <w:rPr>
          <w:rFonts w:ascii="Century Gothic" w:eastAsia="Times New Roman" w:hAnsi="Century Gothic" w:cs="Segoe UI"/>
          <w:i/>
          <w:iCs/>
          <w:lang w:eastAsia="es-MX"/>
        </w:rPr>
        <w:t>PAZcífico</w:t>
      </w:r>
      <w:proofErr w:type="spellEnd"/>
      <w:r w:rsidRPr="00BC5DA9">
        <w:rPr>
          <w:rFonts w:ascii="Century Gothic" w:eastAsia="Times New Roman" w:hAnsi="Century Gothic" w:cs="Segoe UI"/>
          <w:lang w:eastAsia="es-MX"/>
        </w:rPr>
        <w:t xml:space="preserve">. Créase un patrimonio autónomo denominado Fondo para el Desarrollo del Plan Todos Somos </w:t>
      </w:r>
      <w:proofErr w:type="spellStart"/>
      <w:r w:rsidRPr="00BC5DA9">
        <w:rPr>
          <w:rFonts w:ascii="Century Gothic" w:eastAsia="Times New Roman" w:hAnsi="Century Gothic" w:cs="Segoe UI"/>
          <w:lang w:eastAsia="es-MX"/>
        </w:rPr>
        <w:t>PAZcífico</w:t>
      </w:r>
      <w:proofErr w:type="spellEnd"/>
      <w:r w:rsidRPr="00BC5DA9">
        <w:rPr>
          <w:rFonts w:ascii="Century Gothic" w:eastAsia="Times New Roman" w:hAnsi="Century Gothic" w:cs="Segoe UI"/>
          <w:lang w:eastAsia="es-MX"/>
        </w:rPr>
        <w:t>, administrado por el Ministerio de Hacienda y Crédito Público o por la entidad o entidades que este defina. Este fondo tendrá por objeto la financiación y/o la inversión en las necesidades más urgentes para promover el desarrollo integral del litoral Pacífico.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desarrollo de su propósito el mencionado patrimonio autónomo podrá:</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1. Recibir total o parcialmente aportes del Gobierno nacional para financiar o cofinanciar los proyectos de desarrollo acordes con la finalidad del patrimonio autónomo.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2. Recibir aportes de las Entidades Territoriales beneficiarias directas de las actividades del patrimonio autónomo.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3. Aceptar donaciones del sector público o privado, nacional e internacional, con el propósito de realizar las actividades del patrimonio.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4. Suscribir convenios o contratos con entidades públicas para desarrollar el propósito del Fondo para el Desarrollo del Plan Todos Somos </w:t>
      </w:r>
      <w:proofErr w:type="spellStart"/>
      <w:r w:rsidRPr="00BC5DA9">
        <w:rPr>
          <w:rFonts w:ascii="Century Gothic" w:eastAsia="Times New Roman" w:hAnsi="Century Gothic" w:cs="Segoe UI"/>
          <w:lang w:eastAsia="es-MX"/>
        </w:rPr>
        <w:t>PAZcífico</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5. Celebrar operaciones de financiamiento interno o externo, a nombre de patrimonio autónomo para lo cual la Nación o las Entidades Territoriales podrán otorgar los avales o garantías correspondientes.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6. El patrimonio autónomo denominado Fondo para el Desarrollo del Plan Todos Somos Pacífico, tendrá una Dirección Ejecutiva y una Junta Administradora integrada por: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a) El Ministro de Hacienda y Crédito Público, quien la presidirá.</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b) El Director del Departamento Nacional de Planeación.</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c) Dos Gobernadores y dos Alcaldes de la zona de influencia elegidos de conformidad con el reglamento que establezca el Gobierno nacional.</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Ningún departamento podrá tener al tiempo más de un representante en la Junta Administradora.</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567"/>
        <w:jc w:val="both"/>
        <w:rPr>
          <w:rFonts w:ascii="Century Gothic" w:eastAsia="Times New Roman" w:hAnsi="Century Gothic" w:cs="Arial"/>
          <w:lang w:eastAsia="es-MX"/>
        </w:rPr>
      </w:pPr>
      <w:r w:rsidRPr="00BC5DA9">
        <w:rPr>
          <w:rFonts w:ascii="Century Gothic" w:eastAsia="Times New Roman" w:hAnsi="Century Gothic" w:cs="Segoe UI"/>
          <w:lang w:eastAsia="es-MX"/>
        </w:rPr>
        <w:t>d) Tres delegados del Presidente de la República.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7. El Director Ejecutivo del Fondo para el Desarrollo del Plan Todos Somos </w:t>
      </w:r>
      <w:proofErr w:type="spellStart"/>
      <w:r w:rsidRPr="00BC5DA9">
        <w:rPr>
          <w:rFonts w:ascii="Century Gothic" w:eastAsia="Times New Roman" w:hAnsi="Century Gothic" w:cs="Segoe UI"/>
          <w:lang w:eastAsia="es-MX"/>
        </w:rPr>
        <w:t>PAZcífico</w:t>
      </w:r>
      <w:proofErr w:type="spellEnd"/>
      <w:r w:rsidRPr="00BC5DA9">
        <w:rPr>
          <w:rFonts w:ascii="Century Gothic" w:eastAsia="Times New Roman" w:hAnsi="Century Gothic" w:cs="Segoe UI"/>
          <w:lang w:eastAsia="es-MX"/>
        </w:rPr>
        <w:t>, será designado por la Junta Administradora, y renovado por esta quien podrá removerlo cuando lo considere pertinente.</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8. El régimen de contratación y administración de sus recursos será el que define la Junta Administradora, y será regido por el derecho privado, con plena observancia de los principios de transparencia, economía, igualdad, publicidad y, en especial, el de selección objetiva, definidos por la Constitución y la ley, además de aplicar el régimen de inhabilidades e incompatibilidades previsto legalmente.</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9. Cumplido el propósito del Fondo para el Desarrollo del Plan Todos Somos Pacífico, el Ministerio de Hacienda y Crédito Público podrá liquidarlo.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lastRenderedPageBreak/>
        <w:t>Artículo 186.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Sistema de Competitividad, Ciencia, Tecnología e Innovación y Comisiones Regionales de Competitividad. </w:t>
      </w:r>
      <w:r w:rsidRPr="00BC5DA9">
        <w:rPr>
          <w:rFonts w:ascii="Century Gothic" w:eastAsia="Times New Roman" w:hAnsi="Century Gothic" w:cs="Segoe UI"/>
          <w:lang w:eastAsia="es-MX"/>
        </w:rPr>
        <w:t>Intégrese el Sistema de Competitividad e Innovación con el Sistema de Ciencia, Tecnología e Innovación para consolidar un único Sistema de Competitividad, Ciencia, Tecnología e Innovación.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el marco de ese Sistema, las distintas instancias departamentales que promueven agendas de competitividad, productividad, ciencia, tecnología e innovación, tales como los Consejos Departamentales de Ciencia, Tecnología e Innovación (</w:t>
      </w:r>
      <w:proofErr w:type="spellStart"/>
      <w:r w:rsidRPr="00BC5DA9">
        <w:rPr>
          <w:rFonts w:ascii="Century Gothic" w:eastAsia="Times New Roman" w:hAnsi="Century Gothic" w:cs="Segoe UI"/>
          <w:lang w:eastAsia="es-MX"/>
        </w:rPr>
        <w:t>Codecti</w:t>
      </w:r>
      <w:proofErr w:type="spellEnd"/>
      <w:r w:rsidRPr="00BC5DA9">
        <w:rPr>
          <w:rFonts w:ascii="Century Gothic" w:eastAsia="Times New Roman" w:hAnsi="Century Gothic" w:cs="Segoe UI"/>
          <w:lang w:eastAsia="es-MX"/>
        </w:rPr>
        <w:t>), Comités Universidad-Empresa-Estado, Comités de Biodiversidad, Redes Regionales de Emprendimiento, Consejos Regionales de Pyme, Consejos Ambientales Regionales, Comités de Seguimiento a los Convenios de Competitividad y las demás que sean promovidas por el Gobierno nacional, deberán integrarse a las Comisiones Regionales de Competitividad en cada departamento, con el propósito de articular sus agendas de trabajo. Corresponderá a cada Comisión Regional de Competitividad ajustar su estructura de manera que garantice la participación de estas instancias. Las Comisiones serán la única instancia de interlocución con el Gobierno nacional para la implementación de la Agenda Nacional de Competitividad, Ciencia, Tecnología e Innovación.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Gobierno nacional reglamentará la organización, articulación y funcionamiento de ese Sistema.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187.</w:t>
      </w:r>
      <w:r w:rsidRPr="00BC5DA9">
        <w:rPr>
          <w:rFonts w:ascii="Century Gothic" w:eastAsia="Times New Roman" w:hAnsi="Century Gothic" w:cs="Segoe UI"/>
          <w:lang w:eastAsia="es-MX"/>
        </w:rPr>
        <w:t xml:space="preserve"> </w:t>
      </w:r>
      <w:proofErr w:type="spellStart"/>
      <w:r w:rsidRPr="00BC5DA9">
        <w:rPr>
          <w:rFonts w:ascii="Century Gothic" w:eastAsia="Times New Roman" w:hAnsi="Century Gothic" w:cs="Segoe UI"/>
          <w:i/>
          <w:iCs/>
          <w:lang w:eastAsia="es-MX"/>
        </w:rPr>
        <w:t>Autoavalúo</w:t>
      </w:r>
      <w:proofErr w:type="spellEnd"/>
      <w:r w:rsidRPr="00BC5DA9">
        <w:rPr>
          <w:rFonts w:ascii="Century Gothic" w:eastAsia="Times New Roman" w:hAnsi="Century Gothic" w:cs="Segoe UI"/>
          <w:i/>
          <w:iCs/>
          <w:lang w:eastAsia="es-MX"/>
        </w:rPr>
        <w:t xml:space="preserve"> del impuesto predial unificado. </w:t>
      </w:r>
      <w:r w:rsidRPr="00BC5DA9">
        <w:rPr>
          <w:rFonts w:ascii="Century Gothic" w:eastAsia="Times New Roman" w:hAnsi="Century Gothic" w:cs="Segoe UI"/>
          <w:lang w:eastAsia="es-MX"/>
        </w:rPr>
        <w:t xml:space="preserve">A partir del año gravable de 2017, las ciudades o distritos, conforme al censo realizado por el Departamento Administrativo Nacional de Estadística, podrán establecer, para efectos del impuesto predial unificado, bases presuntas mínimas para la liquidación privada del impuesto, de conformidad con los parámetros técnicos sobre precios por metro cuadrado de construcción o terreno según estrato. En cada año gravable el contribuyente podrá optar por declarar el avalúo catastral vigente o el </w:t>
      </w:r>
      <w:proofErr w:type="spellStart"/>
      <w:r w:rsidRPr="00BC5DA9">
        <w:rPr>
          <w:rFonts w:ascii="Century Gothic" w:eastAsia="Times New Roman" w:hAnsi="Century Gothic" w:cs="Segoe UI"/>
          <w:lang w:eastAsia="es-MX"/>
        </w:rPr>
        <w:t>autoavalúo</w:t>
      </w:r>
      <w:proofErr w:type="spellEnd"/>
      <w:r w:rsidRPr="00BC5DA9">
        <w:rPr>
          <w:rFonts w:ascii="Century Gothic" w:eastAsia="Times New Roman" w:hAnsi="Century Gothic" w:cs="Segoe UI"/>
          <w:lang w:eastAsia="es-MX"/>
        </w:rPr>
        <w:t xml:space="preserve"> incrementado, de acuerdo con la normatividad vigente sobre la materia.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188</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Formulario Único Territorial (FUT). </w:t>
      </w:r>
      <w:r w:rsidRPr="00BC5DA9">
        <w:rPr>
          <w:rFonts w:ascii="Century Gothic" w:eastAsia="Times New Roman" w:hAnsi="Century Gothic" w:cs="Segoe UI"/>
          <w:lang w:eastAsia="es-MX"/>
        </w:rPr>
        <w:t>Toda la información del orden territorial sobre la ejecución presupuestal de ingresos y gastos, y demás información oficial básica, de naturaleza organizacional, financiera, económica, geográfica, social y ambiental que sea requerida por las entidades del orden nacional para efectos del monitoreo, seguimiento, evaluación y control de las entidades territoriales, será recolectada a través del Formulario Único Territorial (FUT).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Ninguna entidad del orden nacional podrá solicitar por su propia cuenta a las entidades territoriales la información que estas ya estén reportando a través del FUT. La inclusión de cualquier otro tipo de información requerirá la aprobación del Comité Técnico del FUT.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Arial"/>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El Departamento Nacional de Planeación en coordinación con el Ministerio de Hacienda y Crédito Público definirá las acciones conducentes a consolidar el FUT como único instrumento de reporte de la información territorial con destino a las entidades del nivel nacional, con el propósito de simplificar el número de reportes y lograr mayor calidad y eficiencia en los flujos de información. El FUT buscará contribuir a la automatización de procesos y para su operación y funcionamiento se apoyará en las tecnologías de la información y las comunicaciones.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 anterior, sin perjuicio del cumplimiento del deber de reporte de información por las entidades territoriales a través de los sistemas de información dispuestos por el Gobierno Nacional para fines sectoriales y de control administrativo.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189.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Planes departamentales para el manejo empresarial de los servicios de agua y saneamiento. </w:t>
      </w:r>
      <w:r w:rsidRPr="00BC5DA9">
        <w:rPr>
          <w:rFonts w:ascii="Century Gothic" w:eastAsia="Times New Roman" w:hAnsi="Century Gothic" w:cs="Segoe UI"/>
          <w:lang w:eastAsia="es-MX"/>
        </w:rPr>
        <w:t>Modifíquense los parágrafos 1° y 2° del artículo 21 de la Ley 1450 de 2011,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La deuda de municipios y empresas de servicios públicos con </w:t>
      </w:r>
      <w:proofErr w:type="spellStart"/>
      <w:r w:rsidRPr="00BC5DA9">
        <w:rPr>
          <w:rFonts w:ascii="Century Gothic" w:eastAsia="Times New Roman" w:hAnsi="Century Gothic" w:cs="Segoe UI"/>
          <w:lang w:eastAsia="es-MX"/>
        </w:rPr>
        <w:t>Insfopal</w:t>
      </w:r>
      <w:proofErr w:type="spellEnd"/>
      <w:r w:rsidRPr="00BC5DA9">
        <w:rPr>
          <w:rFonts w:ascii="Century Gothic" w:eastAsia="Times New Roman" w:hAnsi="Century Gothic" w:cs="Segoe UI"/>
          <w:lang w:eastAsia="es-MX"/>
        </w:rPr>
        <w:t xml:space="preserve">, entregada en administración a </w:t>
      </w:r>
      <w:proofErr w:type="spellStart"/>
      <w:r w:rsidRPr="00BC5DA9">
        <w:rPr>
          <w:rFonts w:ascii="Century Gothic" w:eastAsia="Times New Roman" w:hAnsi="Century Gothic" w:cs="Segoe UI"/>
          <w:lang w:eastAsia="es-MX"/>
        </w:rPr>
        <w:t>Findeter</w:t>
      </w:r>
      <w:proofErr w:type="spellEnd"/>
      <w:r w:rsidRPr="00BC5DA9">
        <w:rPr>
          <w:rFonts w:ascii="Century Gothic" w:eastAsia="Times New Roman" w:hAnsi="Century Gothic" w:cs="Segoe UI"/>
          <w:lang w:eastAsia="es-MX"/>
        </w:rPr>
        <w:t xml:space="preserve"> según la Ley 57 de 1989, podrá ser objeto de venta o cesión de su administración y/o recaudo a la Central de Inversiones (CISA), de acuerdo con la normativa aplicable a dicho colector. Los recursos obtenidos por la Nación por concepto de la venta o cesión de la administración y/o recaudo a CISA, se destinarán exclusivamente al pago de pasivos laborales generados por los prestadores de los servicios públicos liquidados y/o transformados, en el marco de los Planes Departamentales para el Manejo Empresarial de los Servicios de Agua y Saneamiento (PDA).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Por motivos de interés social y cuando las características técnicas y económicas de los servicios de agua potable y saneamiento básico lo requieran, se podrán implementar esquemas regionales eficientes y sostenibles para la prestación de estos servicios en los municipios, incluyendo sus áreas rurales, a través de áreas de servicio exclusivo, de conformidad con la reglamentación que para tal fin defina el Gobierno 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190.</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Fondos eléctricos. </w:t>
      </w:r>
      <w:r w:rsidRPr="00BC5DA9">
        <w:rPr>
          <w:rFonts w:ascii="Century Gothic" w:eastAsia="Times New Roman" w:hAnsi="Century Gothic" w:cs="Segoe UI"/>
          <w:lang w:eastAsia="es-MX"/>
        </w:rPr>
        <w:t>El Fondo de Apoyo Financiero para la Energización de las Zonas Rurales Interconectadas (FAER) y el programa de Normalización de Redes Eléctricas (</w:t>
      </w:r>
      <w:proofErr w:type="spellStart"/>
      <w:r w:rsidRPr="00BC5DA9">
        <w:rPr>
          <w:rFonts w:ascii="Century Gothic" w:eastAsia="Times New Roman" w:hAnsi="Century Gothic" w:cs="Segoe UI"/>
          <w:lang w:eastAsia="es-MX"/>
        </w:rPr>
        <w:t>Prone</w:t>
      </w:r>
      <w:proofErr w:type="spellEnd"/>
      <w:r w:rsidRPr="00BC5DA9">
        <w:rPr>
          <w:rFonts w:ascii="Century Gothic" w:eastAsia="Times New Roman" w:hAnsi="Century Gothic" w:cs="Segoe UI"/>
          <w:lang w:eastAsia="es-MX"/>
        </w:rPr>
        <w:t xml:space="preserve">), administrados por el Ministerio de Minas y Energía, recibirá a partir del 1° de enero de 2016 los recursos que recaude el Administrador del Sistema de Intercambios Comerciales (ASIC), correspondientes a dos pesos con diez centavos ($2,10) por kilovatio hora transportado para el caso del FAER, y un peso con noventa centavos ($1,90) por kilovatio hora transportado en el caso del </w:t>
      </w:r>
      <w:proofErr w:type="spellStart"/>
      <w:r w:rsidRPr="00BC5DA9">
        <w:rPr>
          <w:rFonts w:ascii="Century Gothic" w:eastAsia="Times New Roman" w:hAnsi="Century Gothic" w:cs="Segoe UI"/>
          <w:lang w:eastAsia="es-MX"/>
        </w:rPr>
        <w:t>Prone</w:t>
      </w:r>
      <w:proofErr w:type="spellEnd"/>
      <w:r w:rsidRPr="00BC5DA9">
        <w:rPr>
          <w:rFonts w:ascii="Century Gothic" w:eastAsia="Times New Roman" w:hAnsi="Century Gothic" w:cs="Segoe UI"/>
          <w:lang w:eastAsia="es-MX"/>
        </w:rPr>
        <w: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Así mismo, el Fondo de Energía Social (FOES), administrado por el Ministerio de Minas y Energía como un sistema especial de cuentas, a partir del 1° de enero de 2016 cubrirá hasta noventa y dos pesos ($92) por kilovatio hora del valor de la energía eléctrica destinada al consumo de subsistencia de los usuarios </w:t>
      </w:r>
      <w:r w:rsidRPr="00BC5DA9">
        <w:rPr>
          <w:rFonts w:ascii="Century Gothic" w:eastAsia="Times New Roman" w:hAnsi="Century Gothic" w:cs="Segoe UI"/>
          <w:lang w:eastAsia="es-MX"/>
        </w:rPr>
        <w:lastRenderedPageBreak/>
        <w:t>residenciales de estratos 1 y 2 en las Áreas Rurales de Menor Desarrollo, Zonas de Difícil Gestión y Barrios Subnormales.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Al FOES ingresarán los recursos provenientes del ochenta por ciento (80%) de las Rentas de Congestión calculadas por el ASIC, como producto de las exportaciones de energía eléctrica, y recursos del Presupuesto General de la Nación cuando aquellos resulten insuficientes para financiar el 50% del subsidio cubierto por el FOES.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Adicionalmente, a partir del 1° de enero de 2016, al FOES también ingresarán los recursos que recaude el ASIC correspondientes a no más de dos pesos con diez centavos ($2,10) por kilovatio hora transportado, con el fin de financiar el 50% restante.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consumo de energía total cubierto por el FOES no excederá del ocho por ciento (8%) del consumo total de energía en el Sistema Interconectado Nacional. Este porcentaje dependerá de la cantidad de recursos disponibles.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comercializadores indicarán el menor valor de la energía subsidiada en la factura de cobro correspondiente al período siguiente a aquel en que reciban efectivamente las sumas giradas por el FOES y en proporción a las mismas. Dichas sumas solo podrán ser aplicadas al consumo corriente de energía de los usuarios y no podrá destinarse para consumos mayores al consumo de subsistencia vigente.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Fondo de Apoyo Financiero para la Energización de las Zonas No Interconectadas (</w:t>
      </w:r>
      <w:proofErr w:type="spellStart"/>
      <w:r w:rsidRPr="00BC5DA9">
        <w:rPr>
          <w:rFonts w:ascii="Century Gothic" w:eastAsia="Times New Roman" w:hAnsi="Century Gothic" w:cs="Segoe UI"/>
          <w:lang w:eastAsia="es-MX"/>
        </w:rPr>
        <w:t>Fazni</w:t>
      </w:r>
      <w:proofErr w:type="spellEnd"/>
      <w:r w:rsidRPr="00BC5DA9">
        <w:rPr>
          <w:rFonts w:ascii="Century Gothic" w:eastAsia="Times New Roman" w:hAnsi="Century Gothic" w:cs="Segoe UI"/>
          <w:lang w:eastAsia="es-MX"/>
        </w:rPr>
        <w:t>), administrado por el Ministerio de Minas y Energía, a partir del primero de enero de 2016 recibirá los recursos que recaude el Administrador del Sistema de Intercambios Comerciales (ASIC) correspondientes a un peso con noventa centavos ($1,90) por kilovatio hora despachado en la Bolsa de Energía Mayorista, de los cuales cuarenta centavos ($0,40) serán destinados para financiar el Fondo de Energías no Convencionales y Gestión Eficiente de la Energía (</w:t>
      </w:r>
      <w:proofErr w:type="spellStart"/>
      <w:r w:rsidRPr="00BC5DA9">
        <w:rPr>
          <w:rFonts w:ascii="Century Gothic" w:eastAsia="Times New Roman" w:hAnsi="Century Gothic" w:cs="Segoe UI"/>
          <w:lang w:eastAsia="es-MX"/>
        </w:rPr>
        <w:t>Fenoge</w:t>
      </w:r>
      <w:proofErr w:type="spellEnd"/>
      <w:r w:rsidRPr="00BC5DA9">
        <w:rPr>
          <w:rFonts w:ascii="Century Gothic" w:eastAsia="Times New Roman" w:hAnsi="Century Gothic" w:cs="Segoe UI"/>
          <w:lang w:eastAsia="es-MX"/>
        </w:rPr>
        <w:t>) de que trata el artículo 10 de la Ley 1715 de 2014.</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El manejo de los recursos del FAER, del </w:t>
      </w:r>
      <w:proofErr w:type="spellStart"/>
      <w:r w:rsidRPr="00BC5DA9">
        <w:rPr>
          <w:rFonts w:ascii="Century Gothic" w:eastAsia="Times New Roman" w:hAnsi="Century Gothic" w:cs="Segoe UI"/>
          <w:lang w:eastAsia="es-MX"/>
        </w:rPr>
        <w:t>Prone</w:t>
      </w:r>
      <w:proofErr w:type="spellEnd"/>
      <w:r w:rsidRPr="00BC5DA9">
        <w:rPr>
          <w:rFonts w:ascii="Century Gothic" w:eastAsia="Times New Roman" w:hAnsi="Century Gothic" w:cs="Segoe UI"/>
          <w:lang w:eastAsia="es-MX"/>
        </w:rPr>
        <w:t xml:space="preserve">, del FOES y del </w:t>
      </w:r>
      <w:proofErr w:type="spellStart"/>
      <w:r w:rsidRPr="00BC5DA9">
        <w:rPr>
          <w:rFonts w:ascii="Century Gothic" w:eastAsia="Times New Roman" w:hAnsi="Century Gothic" w:cs="Segoe UI"/>
          <w:lang w:eastAsia="es-MX"/>
        </w:rPr>
        <w:t>Fazni</w:t>
      </w:r>
      <w:proofErr w:type="spellEnd"/>
      <w:r w:rsidRPr="00BC5DA9">
        <w:rPr>
          <w:rFonts w:ascii="Century Gothic" w:eastAsia="Times New Roman" w:hAnsi="Century Gothic" w:cs="Segoe UI"/>
          <w:lang w:eastAsia="es-MX"/>
        </w:rPr>
        <w:t xml:space="preserve"> será realizado por el Ministerio de Hacienda y Crédito Público y los mismos se considerarán inversión social, en los términos de la Constitución Política y normas orgánicas de presupuesto. El Gobierno dentro de los cuatro (4) meses siguientes a la expedición de esta ley, expedirá los decretos reglamentarios necesarios para ajustar la focalización, adjudicación y seguimiento de los recursos de dichos fondos.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Así mismo, el Gobierno determinará el procedimiento para declarar incumplimientos, imponer multas y sanciones de origen contractual y hacer efectivas las garantías que se constituyan en el marco de la ejecución de los recursos a que se refiere el presente artículo, de conformidad con el artículo 39 de la Ley 142 de 1994.</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Las tarifas de las contribuciones correspondientes a los Fondos de que trata este artículo se indexarán anualmente con el índice de Precios al </w:t>
      </w:r>
      <w:r w:rsidRPr="00BC5DA9">
        <w:rPr>
          <w:rFonts w:ascii="Century Gothic" w:eastAsia="Times New Roman" w:hAnsi="Century Gothic" w:cs="Segoe UI"/>
          <w:lang w:eastAsia="es-MX"/>
        </w:rPr>
        <w:lastRenderedPageBreak/>
        <w:t>Productor (IPP), calculado por el Departamento Administrativo Nacional de Estadística (DANE).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En el caso del FAER, del </w:t>
      </w:r>
      <w:proofErr w:type="spellStart"/>
      <w:r w:rsidRPr="00BC5DA9">
        <w:rPr>
          <w:rFonts w:ascii="Century Gothic" w:eastAsia="Times New Roman" w:hAnsi="Century Gothic" w:cs="Segoe UI"/>
          <w:lang w:eastAsia="es-MX"/>
        </w:rPr>
        <w:t>Prone</w:t>
      </w:r>
      <w:proofErr w:type="spellEnd"/>
      <w:r w:rsidRPr="00BC5DA9">
        <w:rPr>
          <w:rFonts w:ascii="Century Gothic" w:eastAsia="Times New Roman" w:hAnsi="Century Gothic" w:cs="Segoe UI"/>
          <w:lang w:eastAsia="es-MX"/>
        </w:rPr>
        <w:t xml:space="preserve"> y del FOES, las contribuciones serán pagadas por los propietarios de los activos del Sistema de Transmisión Nacional (STN), y serán incorporadas en los cargos por uso del STN, para lo cual la Comisión de Regulación de Energía y Gas (CREG) adoptará los ajustes necesarios en la regulación.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Tercero.</w:t>
      </w:r>
      <w:r w:rsidRPr="00BC5DA9">
        <w:rPr>
          <w:rFonts w:ascii="Century Gothic" w:eastAsia="Times New Roman" w:hAnsi="Century Gothic" w:cs="Segoe UI"/>
          <w:lang w:eastAsia="es-MX"/>
        </w:rPr>
        <w:t xml:space="preserve"> En el caso del </w:t>
      </w:r>
      <w:proofErr w:type="spellStart"/>
      <w:r w:rsidRPr="00BC5DA9">
        <w:rPr>
          <w:rFonts w:ascii="Century Gothic" w:eastAsia="Times New Roman" w:hAnsi="Century Gothic" w:cs="Segoe UI"/>
          <w:lang w:eastAsia="es-MX"/>
        </w:rPr>
        <w:t>Fazni</w:t>
      </w:r>
      <w:proofErr w:type="spellEnd"/>
      <w:r w:rsidRPr="00BC5DA9">
        <w:rPr>
          <w:rFonts w:ascii="Century Gothic" w:eastAsia="Times New Roman" w:hAnsi="Century Gothic" w:cs="Segoe UI"/>
          <w:lang w:eastAsia="es-MX"/>
        </w:rPr>
        <w:t>, las contribuciones serán pagadas por los agentes generadores de energía, y serán incorporados en las tarifas de energía eléctrica, para lo cual la CREG adoptará los ajustes necesarios en la regulación.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4°.</w:t>
      </w:r>
      <w:r w:rsidRPr="00BC5DA9">
        <w:rPr>
          <w:rFonts w:ascii="Century Gothic" w:eastAsia="Times New Roman" w:hAnsi="Century Gothic" w:cs="Segoe UI"/>
          <w:lang w:eastAsia="es-MX"/>
        </w:rPr>
        <w:t xml:space="preserve"> Los artículos 103, 104 y 115 de la Ley 1450 de 2011 seguirán vigentes hasta el 31 de diciembre de 2015.</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Alumbrado Público. </w:t>
      </w:r>
      <w:r w:rsidRPr="00BC5DA9">
        <w:rPr>
          <w:rFonts w:ascii="Century Gothic" w:eastAsia="Times New Roman" w:hAnsi="Century Gothic" w:cs="Segoe UI"/>
          <w:lang w:eastAsia="es-MX"/>
        </w:rPr>
        <w:t>Es un servicio público esencial, regido por los artículos 56 y 365 de la Constitución Política. El Gobierno nacional, a través del Ministerio de Minas y Energía, reglamentará su prestación para que se asegure por parte de autoridades municipales y distritales lo siguiente: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1. El mejoramiento de la calidad de vida y de seguridad de los habitantes en el nivel nacional y territorial.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2. El financiamiento del servicio de alumbrado público dentro del marco de sostenibilidad fiscal de la entidad territorial. En ningún caso podrá cobrarse por este servicio sin que se haya realizado la prestación del mismo en su área de influencia.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3. Una prestación eficiente y continua del servicio de alumbrado público.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4. Se amplíe la cobertura en la prestación del servicio de alumbrado público.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 prestación del servicio de alumbrado público, inherente al servicio público de energía eléctrica, se regirá por los siguientes principios: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a) El principio de cobertura buscará garantizar una cobertura plena de todas las áreas urbanas de los municipios y distritos, y en centros poblados de las zonas rurales donde técnica y financieramente resulte viable su prestación, en concordancia con la planificación local y con los demás principios enunciados en el presente artículo.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b) En virtud del principio de calidad el servicio prestado debe cumplir con los requisitos técnicos que se establezcan para él.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c) Para efectos del presente artículo, el principio de eficiencia energética se define como la relación entre la energía aprovechada y la total utilizada, en </w:t>
      </w:r>
      <w:r w:rsidRPr="00BC5DA9">
        <w:rPr>
          <w:rFonts w:ascii="Century Gothic" w:eastAsia="Times New Roman" w:hAnsi="Century Gothic" w:cs="Segoe UI"/>
          <w:lang w:eastAsia="es-MX"/>
        </w:rPr>
        <w:lastRenderedPageBreak/>
        <w:t>cualquier proceso de la cadena energética que busca ser maximizada a través de buenas prácticas de reconversión tecnológica.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d) El principio de eficiencia económica implica, entre otros aspectos, la correcta asignación y utilización de los recursos de tal forma que se busque la garantía de la prestación del servicio de alumbrado público al menor costo económico y bajo criterios técnicos de calidad.</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 En virtud del principio de homogeneidad se buscará que la metodología para determinar los costos totales máximos eficientes de prestación del servicio de alumbrado público tengan una misma estructura para todos los municipios y distritos del país, y que los costos resultantes respondan a la realidad de cada municipio o distrito.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f) En virtud del principio de suficiencia financiera se promoverá que los prestadores del servicio de alumbrado público tengan una recuperación eficiente de los costos y gastos de todas las actividades asociadas a la prestación del servicio y obtener una rentabilidad razonable.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costos y gastos eficientes de todas las actividades asociadas a la prestación del servicio de alumbrado público serán recuperados por el municipio o distrito que tiene a cargo su prestación a través de una contribución especial con destinación específica para la financiación de este servicio. Dichos costos y gastos se determinarán de conformidad con la metodología que para tales efectos establezca el Ministerio de Minas y Energía o la autoridad que delegue.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Serán sujetos pasivos de la contribución del servicio de alumbrado público quienes realicen consumos de energía eléctrica, bien sea como usuarios del servicio público domiciliario de energía eléctrica o como auto generadores y, en los casos en que no se realicen consumos de energía eléctrica, los propietarios de los predios y demás sujetos pasivos del impuesto predial que se encuentren dentro de la jurisdicción del respectivo municipio o distrito. Lo anterior, teniendo en cuenta los criterios de equidad y progresividad.</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Ministerio de Minas y Energía o la autoridad que delegue determinará la metodología que contenga los criterios técnicos a considerar por parte de los concejos municipales y distritales para realizar la distribución del costo a recuperar entre los sujetos pasivos, para lo cual deberá tener en cuenta los principios definidos en este artículo.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Cuando el sujeto pasivo sea el usuario de energía eléctrica, para la liquidación de la contribución se deberá considerar el volumen de energía consumida. Cuando el sujeto pasivo sea el propietario de los predios y demás sujetos pasivos del impuesto predial, para la fijación de la contribución se deberá considerar los elementos del avalúo catastral del respectivo predio, teniendo en cuenta el área de influencia del servicio de alumbrado público. El valor de la contribución en ningún caso sobrepasará el valor máximo que se determine de conformidad con los criterios de distribución contenidos en la metodología mencionada.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alcaldes municipales o distritales definirán los procedimientos de recaudo, y este podrá realizarse, entre otros, a través de la facturación propia del municipio o distrito, o de las empresas de servicios públicos domiciliarios de su jurisdicción. En este caso, la remuneración del servicio de facturación y recaudo se realizará de conformidad con la regulación aplicable a la facturación conjunta.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 partir de la vigencia de la presente ley, el suministro de energía eléctrica con destino al servicio de alumbrado público deberá realizarse a través de contratos soportados en los mecanismos de cubrimiento que para el efecto determine el Ministerio de Minas y Energía o la autoridad que delegue dentro de los seis meses siguientes. En todo caso, el pago por el suministro de la energía, la facturación y el recaudo se podrán realizar mediante apropiación sin situación de fondos por parte de la entidad respectiva y a favor del comercializador de energía eléctrica.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personas prestadoras del servicio de alumbrado público serán sujetos del control y vigilancia de la Superintendencia de Servicios Públicos Domiciliarios, en aspectos relacionados con la calidad y prestación del servicio. La Superintendencia de Servicios Públicos Domiciliarios realizará la vigilancia y control sobre el cumplimiento de los reglamentos técnicos expedidos para regular el servicio de alumbrado público.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Sustitúyase el impuesto de alumbrado público, y en particular, el literal d) del artículo 10 de la Ley 97 del 1913, en lo que se refiera a dicho impuesto y demás leyes que lo complementan.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Los contratos suscritos mantendrán su vigencia, pero las prórrogas o adiciones que se pacten con posterioridad a la vigencia de la presente ley se regirán por lo previsto en esta ley; en todo caso, el recaudo de la contribución de alumbrado se destinará a sufragar el costo de prestación del servicio a partir de la expedición de la presente ley. Los contratos que se celebren durante el período al que se refiere el parágrafo transitorio y en todo caso antes de la reglamentación de este artículo, se regirán por las normas vigentes antes de la expedición de esta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Transitorio.</w:t>
      </w:r>
      <w:r w:rsidRPr="00BC5DA9">
        <w:rPr>
          <w:rFonts w:ascii="Century Gothic" w:eastAsia="Times New Roman" w:hAnsi="Century Gothic" w:cs="Segoe UI"/>
          <w:lang w:eastAsia="es-MX"/>
        </w:rPr>
        <w:t xml:space="preserve"> La sustitución de que trata el parágrafo 1° del presente artículo se aplicará respecto de las entidades territoriales que hayan expedido acuerdos adoptando el tributo de alumbrado público autorizado por las Leyes 97 de 1913 y 84 de 1915. Contarán con un (1) año a partir de la entrada en vigencia de la presente ley para adoptar la contribución en los términos establecidos por este artículo. Una vez cumplido este plazo operará la sustitución. Los alcaldes de los municipios y distritos que a la fecha de expedición de esta ley tengan incorporado en los acuerdos de impuesto de alumbrado público la actividad de semaforización, deberán establecer la fuente con la cual se financiarán los costos y gastos de la actividad de semaforización a partir de la terminación del período de un (1) año al que se refiere este parágrafo transitorio.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Sin perjuicio de lo anterior, los municipios o distritos podrán optar por no cobrar por la prestación del servicio de alumbrado público.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Acuerdos con entidades territoriales. </w:t>
      </w:r>
      <w:r w:rsidRPr="00BC5DA9">
        <w:rPr>
          <w:rFonts w:ascii="Century Gothic" w:eastAsia="Times New Roman" w:hAnsi="Century Gothic" w:cs="Segoe UI"/>
          <w:lang w:eastAsia="es-MX"/>
        </w:rPr>
        <w:t>El Gobierno nacional establecerá el procedimiento para que las entidades territoriales puedan proponer al Ministerio de Minas y Energía, con fundamento en estudios técnicos, sociales y ambientales; medidas de protección del ambiente sano, las cuencas hídricas, el desarrollo económico, social, cultural de sus comunidades y la salubridad de la población, frente a las posibles afectaciones que pueden derivarse de la actividad minera.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estudios antes referidos podrán basarse en los realizados para fundamentar la expedición de los Planes de Ordenamiento Territorial, Esquemas de Ordenamiento Territorial o en los estudios que hayan sido elaborados por las Corporaciones Autónomas Regionales en el ejercicio de sus funciones.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Acceso a las TIC y despliegue de infraestructura. </w:t>
      </w:r>
      <w:r w:rsidRPr="00BC5DA9">
        <w:rPr>
          <w:rFonts w:ascii="Century Gothic" w:eastAsia="Times New Roman" w:hAnsi="Century Gothic" w:cs="Segoe UI"/>
          <w:lang w:eastAsia="es-MX"/>
        </w:rPr>
        <w:t>Con el propósito de garantizar el ejercicio y goce efectivo de los derechos constitucionales a la comunicación, la vida en situaciones de emergencia, la educación, la salud, la seguridad personal, y, el acceso a la información, al conocimiento, la ciencia y a la cultura, así como el de contribuir a la masificación del Gobierno en Línea, de conformidad con la Ley 1341 de 2009, es deber de la Nación asegurar la prestación continua, oportuna y de calidad de los servicios públicos de comunicaciones para lo cual velará por el despliegue de la infraestructura de redes de telecomunicaciones en las entidades territoriales.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Para este efecto, las autoridades de todos los órdenes territoriales identificarán los obstáculos que restrinjan, limiten o impidan el despliegue de infraestructura de telecomunicaciones necesaria para el ejercicio y goce de los derechos constitucionales y procederá a adoptar las medidas y acciones que considere idóneas para removerlos.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Cualquier autoridad territorial o cualquier persona </w:t>
      </w:r>
      <w:proofErr w:type="gramStart"/>
      <w:r w:rsidRPr="00BC5DA9">
        <w:rPr>
          <w:rFonts w:ascii="Century Gothic" w:eastAsia="Times New Roman" w:hAnsi="Century Gothic" w:cs="Segoe UI"/>
          <w:lang w:eastAsia="es-MX"/>
        </w:rPr>
        <w:t>podrá</w:t>
      </w:r>
      <w:proofErr w:type="gramEnd"/>
      <w:r w:rsidRPr="00BC5DA9">
        <w:rPr>
          <w:rFonts w:ascii="Century Gothic" w:eastAsia="Times New Roman" w:hAnsi="Century Gothic" w:cs="Segoe UI"/>
          <w:lang w:eastAsia="es-MX"/>
        </w:rPr>
        <w:t xml:space="preserve"> comunicarle a la Comisión de Regulación de Comunicaciones (CRC) la persistencia de alguno de estos obstáculos. Recibida la comunicación, la CRC deberá constatar la existencia de barreras, prohibiciones o restricciones que transitoria o permanentemente obstruyan el despliegue de infraestructura en un área determinada de la respectiva entidad territorial. Una vez efectuada la constatación por parte de la CRC y en un término no mayor de treinta (30) días, esta emitirá un concepto, en el cual informará a las autoridades territoriales responsables la necesidad de garantizar el despliegue de infraestructura de telecomunicaciones para la realización de los derechos constitucionales en los términos del primer inciso del presente artículo.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Comunicado el concepto, la autoridad respectiva dispondrá de un plazo máximo de treinta (30) días para informar a la CRC las acciones que ha decidido implementar en el término de seis (6) meses para remover el obstáculo o barrera identificado por la CRC, así como las alternativas que permitirán el despliegue de </w:t>
      </w:r>
      <w:r w:rsidRPr="00BC5DA9">
        <w:rPr>
          <w:rFonts w:ascii="Century Gothic" w:eastAsia="Times New Roman" w:hAnsi="Century Gothic" w:cs="Segoe UI"/>
          <w:lang w:eastAsia="es-MX"/>
        </w:rPr>
        <w:lastRenderedPageBreak/>
        <w:t>infraestructura de telecomunicaciones en el área determinada, incluidas, entre estas, las recomendaciones contenidas en el concepto de la CRC.</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Antes del vencimiento de este plazo, la autoridad de la entidad territorial podrá acordar con la CRC la mejor forma de implementar las condiciones técnicas en las cuales se asegurará el despliegue.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1°.</w:t>
      </w:r>
      <w:r w:rsidRPr="00BC5DA9">
        <w:rPr>
          <w:rFonts w:ascii="Century Gothic" w:eastAsia="Times New Roman" w:hAnsi="Century Gothic" w:cs="Segoe UI"/>
          <w:lang w:eastAsia="es-MX"/>
        </w:rPr>
        <w:t xml:space="preserve"> Cuando el plan de ordenamiento territorial no permita realizar las acciones necesarias que requieran las autoridades territoriales para permitir el despliegue de infraestructura para telecomunicaciones, el alcalde podrá promover las acciones necesarias para implementar su modificación.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 2°.</w:t>
      </w:r>
      <w:r w:rsidRPr="00BC5DA9">
        <w:rPr>
          <w:rFonts w:ascii="Century Gothic" w:eastAsia="Times New Roman" w:hAnsi="Century Gothic" w:cs="Segoe UI"/>
          <w:lang w:eastAsia="es-MX"/>
        </w:rPr>
        <w:t xml:space="preserve"> A partir de la radicación de la solicitud de licencia para la construcción, instalación, modificación u operación de cualquier equipamiento para la prestación de servicios de telecomunicaciones, la autoridad competente para decidir tendrá un plazo de dos (2) meses para el otorgamiento o no de dicho permiso. Transcurrido ese plazo sin que se haya notificado decisión que resuelva la petición, se entenderá concedida la licencia en favor del peticionario en los términos solicitados en razón a que ha operado el silencio administrativo positivo, salvo en los casos señalados por la Corte Constitucional. Dentro de las setenta y dos (72) horas siguientes al vencimiento del término de los (2) meses, la autoridad competente para la ordenación del territorio, deberá reconocer al peticionario los efectos del silencio administrativo positivo, sin perjuicio de la responsabilidad patrimonial y disciplinaria que tal abstención genere para el funcionario encargado de resolver.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xml:space="preserve">Parágrafo 3°. </w:t>
      </w:r>
      <w:r w:rsidRPr="00BC5DA9">
        <w:rPr>
          <w:rFonts w:ascii="Century Gothic" w:eastAsia="Times New Roman" w:hAnsi="Century Gothic" w:cs="Segoe UI"/>
          <w:lang w:eastAsia="es-MX"/>
        </w:rPr>
        <w:t xml:space="preserve">Los elementos de transmisión y recepción que hacen parte de la infraestructura de los proveedores de las redes y servicios de telecomunicaciones, tales como </w:t>
      </w:r>
      <w:proofErr w:type="spellStart"/>
      <w:r w:rsidRPr="00BC5DA9">
        <w:rPr>
          <w:rFonts w:ascii="Century Gothic" w:eastAsia="Times New Roman" w:hAnsi="Century Gothic" w:cs="Segoe UI"/>
          <w:lang w:eastAsia="es-MX"/>
        </w:rPr>
        <w:t>picoceldas</w:t>
      </w:r>
      <w:proofErr w:type="spellEnd"/>
      <w:r w:rsidRPr="00BC5DA9">
        <w:rPr>
          <w:rFonts w:ascii="Century Gothic" w:eastAsia="Times New Roman" w:hAnsi="Century Gothic" w:cs="Segoe UI"/>
          <w:lang w:eastAsia="es-MX"/>
        </w:rPr>
        <w:t xml:space="preserve"> o </w:t>
      </w:r>
      <w:proofErr w:type="spellStart"/>
      <w:r w:rsidRPr="00BC5DA9">
        <w:rPr>
          <w:rFonts w:ascii="Century Gothic" w:eastAsia="Times New Roman" w:hAnsi="Century Gothic" w:cs="Segoe UI"/>
          <w:lang w:eastAsia="es-MX"/>
        </w:rPr>
        <w:t>microceldas</w:t>
      </w:r>
      <w:proofErr w:type="spellEnd"/>
      <w:r w:rsidRPr="00BC5DA9">
        <w:rPr>
          <w:rFonts w:ascii="Century Gothic" w:eastAsia="Times New Roman" w:hAnsi="Century Gothic" w:cs="Segoe UI"/>
          <w:lang w:eastAsia="es-MX"/>
        </w:rPr>
        <w:t>, que por sus características en dimensión y peso puedan ser instaladas sin la necesidad de obra civil para su soporte estarán autorizadas para ser instaladas sin mediar licencia de autorización de uso del suelo, siempre y cuando respeten la reglamentación en la materia expedida por la Agencia Nacional del Espectro (ANE) y la Comisión de Regulación de Comunicaciones (CRC).</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Expansión de las telecomunicaciones sociales y mejoramiento de la calidad de los servicios TIC. </w:t>
      </w:r>
      <w:r w:rsidRPr="00BC5DA9">
        <w:rPr>
          <w:rFonts w:ascii="Century Gothic" w:eastAsia="Times New Roman" w:hAnsi="Century Gothic" w:cs="Segoe UI"/>
          <w:lang w:eastAsia="es-MX"/>
        </w:rPr>
        <w:t>El Gobierno nacional, a través del Ministerio de las Tecnologías de la Información y las Comunicaciones (Min TIC), diseñará e implementará planes, programas y proyectos que promuevan en forma prioritaria el acceso y el servicio universal a las Tecnologías de la Información, y las Comunicaciones (TIC) a las zonas apartadas del país. Para el efecto, se tendrán en cuenta los siguientes lineamientos: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a) Acceso a las TIC en zonas rurales y urbanas. El Min TIC podrá apoyar la conectividad de los centros de acceso comunitarios a Internet rurales y urbanos desplegados en territorio nacional con cargo a los recursos del sector, teniendo en cuenta criterios de focalización, y promoverá que las entidades del Estado hagan uso y apoyen dichos centros.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b) Masificación de servicios de telecomunicaciones y aplicaciones. El Min TIC podrá establecer planes de masificación del acceso a las tecnologías de la información y las comunicaciones para la población de menores recursos.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Dichos planes podrán incorporar subsidios a grupos específicos de población de menores ingresos o en condiciones socioeconómicas y geográficas menos favorables, para el suministro de los servicios de telecomunicaciones, los equipos terminales, los paneles solares las aplicaciones y los servicios de capacitación para la apropiación de dicha tecnología.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El Min TIC, con el apoyo técnico de la Comisión de Regulación de Comunicaciones (CRC), definirá las características de los planes, los montos de los subsidios, las condiciones de provisión de servicios, aplicaciones y terminales, así como los mecanismos y procedimientos para la verificación y control en la inversión de estos recursos por parte de los operadores.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Para este efecto, el Ministerio podrá asignar recursos del Fondo de las Tecnologías de la Información y las Comunicaciones (</w:t>
      </w:r>
      <w:proofErr w:type="spellStart"/>
      <w:r w:rsidRPr="00BC5DA9">
        <w:rPr>
          <w:rFonts w:ascii="Century Gothic" w:eastAsia="Times New Roman" w:hAnsi="Century Gothic" w:cs="Segoe UI"/>
          <w:lang w:eastAsia="es-MX"/>
        </w:rPr>
        <w:t>Fontic</w:t>
      </w:r>
      <w:proofErr w:type="spellEnd"/>
      <w:r w:rsidRPr="00BC5DA9">
        <w:rPr>
          <w:rFonts w:ascii="Century Gothic" w:eastAsia="Times New Roman" w:hAnsi="Century Gothic" w:cs="Segoe UI"/>
          <w:lang w:eastAsia="es-MX"/>
        </w:rPr>
        <w:t>), y en el caso de desarrollar dichos planes a través de proveedores de redes y servicios de comunicaciones, podrá autorizar que estos destinen directamente para ello los recursos de la contraprestación de que trata el artículo 36 de la Ley 1341 de 2009.</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Dentro de este programa de masificación, en poblaciones con menos de 50.000 habitantes, el </w:t>
      </w:r>
      <w:proofErr w:type="spellStart"/>
      <w:r w:rsidRPr="00BC5DA9">
        <w:rPr>
          <w:rFonts w:ascii="Century Gothic" w:eastAsia="Times New Roman" w:hAnsi="Century Gothic" w:cs="Segoe UI"/>
          <w:lang w:eastAsia="es-MX"/>
        </w:rPr>
        <w:t>Fontic</w:t>
      </w:r>
      <w:proofErr w:type="spellEnd"/>
      <w:r w:rsidRPr="00BC5DA9">
        <w:rPr>
          <w:rFonts w:ascii="Century Gothic" w:eastAsia="Times New Roman" w:hAnsi="Century Gothic" w:cs="Segoe UI"/>
          <w:lang w:eastAsia="es-MX"/>
        </w:rPr>
        <w:t xml:space="preserve"> también podrá subsidiar la prestación del servicio de acceso a internet a nuevos usuarios que reúnan las mismas características del inciso primero de este literal, a través de los operadores de televisión comunitaria y televisión por suscripción, para lo cual los operadores de televisión comunitaria podrán prestar servicios de Internet y telefonía sin afectar su licencia de televisión, previo cumplimiento de inscripción en el Registro de TIC de que trata la Ley 1341 de 2009.</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c) Despliegue de la Televisión Digital. La Autoridad Nacional de Televisión (ANTV) promoverá el desarrollo de la Televisión Digital Terrestre (TDT) y </w:t>
      </w:r>
      <w:proofErr w:type="spellStart"/>
      <w:r w:rsidRPr="00BC5DA9">
        <w:rPr>
          <w:rFonts w:ascii="Century Gothic" w:eastAsia="Times New Roman" w:hAnsi="Century Gothic" w:cs="Segoe UI"/>
          <w:lang w:eastAsia="es-MX"/>
        </w:rPr>
        <w:t>Direct</w:t>
      </w:r>
      <w:proofErr w:type="spellEnd"/>
      <w:r w:rsidRPr="00BC5DA9">
        <w:rPr>
          <w:rFonts w:ascii="Century Gothic" w:eastAsia="Times New Roman" w:hAnsi="Century Gothic" w:cs="Segoe UI"/>
          <w:lang w:eastAsia="es-MX"/>
        </w:rPr>
        <w:t xml:space="preserve"> to Home (DTH) para que esta llegue a todo el territorio nacional. Para esto, el Fondo de Desarrollo de la Televisión y los Contenidos podrán subsidiar equipos terminales, televisores, y paneles solares dirigidos a centros comunitarios y escuelas públicas en zonas apartadas del país.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Arial"/>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d) Obligaciones de hacer como forma de pago por el uso del espectro radioeléctrico. El Min TIC podrá establecer obligaciones de hacer como forma de pago de la contra prestación por el otorgamiento o renovación de los permisos de uso del espectro radioeléctrico para beneficiar con TIC a habitantes de bajos ingresos, zonas apartadas y escuelas públicas. Así mismo podrá imponer obligaciones para prestar redes para emergencias. Las inversiones a reconocer serán determinadas por la Comisión de Regulación de </w:t>
      </w:r>
      <w:r w:rsidRPr="00BC5DA9">
        <w:rPr>
          <w:rFonts w:ascii="Century Gothic" w:eastAsia="Times New Roman" w:hAnsi="Century Gothic" w:cs="Segoe UI"/>
          <w:lang w:eastAsia="es-MX"/>
        </w:rPr>
        <w:lastRenderedPageBreak/>
        <w:t>Comunicaciones, de acuerdo con la reglamentación que se defina al respecto.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Los subsidios de que trata el presente artículo se otorgarán por el término de cuatro (4) años contados a partir de la expedición de la presente ley, siempre que guarden consistencia con el marco de gasto de mediano plazo y con el Marco Fiscal de Mediano Plazo.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Planes regionales de tecnologías de la información y las comunicaciones. </w:t>
      </w:r>
      <w:r w:rsidRPr="00BC5DA9">
        <w:rPr>
          <w:rFonts w:ascii="Century Gothic" w:eastAsia="Times New Roman" w:hAnsi="Century Gothic" w:cs="Segoe UI"/>
          <w:lang w:eastAsia="es-MX"/>
        </w:rPr>
        <w:t xml:space="preserve">El Ministerio de las Tecnologías de la Información y las Comunicaciones (Min TIC) </w:t>
      </w:r>
      <w:proofErr w:type="gramStart"/>
      <w:r w:rsidRPr="00BC5DA9">
        <w:rPr>
          <w:rFonts w:ascii="Century Gothic" w:eastAsia="Times New Roman" w:hAnsi="Century Gothic" w:cs="Segoe UI"/>
          <w:lang w:eastAsia="es-MX"/>
        </w:rPr>
        <w:t>incluirá</w:t>
      </w:r>
      <w:proofErr w:type="gramEnd"/>
      <w:r w:rsidRPr="00BC5DA9">
        <w:rPr>
          <w:rFonts w:ascii="Century Gothic" w:eastAsia="Times New Roman" w:hAnsi="Century Gothic" w:cs="Segoe UI"/>
          <w:lang w:eastAsia="es-MX"/>
        </w:rPr>
        <w:t xml:space="preserve"> programas regionales de Tecnologías de la Información y las Comunicaciones (TIC), en coordinación con Colciencias y otras entidades del Estado. Dichos planes estarán alineados con los objetivos del Plan Nacional de Desarrollo.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Min TIC apoyará el desarrollo de los planes de TIC diseñados por los municipios que incorporen la aplicación del “Código de Buenas Prácticas para el despliegue de infraestructura de redes de comunicaciones” emitido por la Comisión de Regulación de las Comunicaciones (CRC), la cual evaluará la efectiva incorporación de los elementos de dicho código a sus planes de ordenamiento territorial o al instrumento que haga sus veces.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Presentación de proyectos en beneficio de las regiones. </w:t>
      </w:r>
      <w:r w:rsidRPr="00BC5DA9">
        <w:rPr>
          <w:rFonts w:ascii="Century Gothic" w:eastAsia="Times New Roman" w:hAnsi="Century Gothic" w:cs="Segoe UI"/>
          <w:lang w:eastAsia="es-MX"/>
        </w:rPr>
        <w:t>El Gobierno nacional a través del Departamento Nacional de Planeación podrá presentar a los Órganos Colegiados de Administración y Decisión (OCAD) proyectos de impacto regional, en beneficio del desarrollo de las regiones en los que concurran distintas fuentes de financiación públicas o privadas y con cargo a las asignaciones de los fondos de desarrollo regional y de compensación regional del Sistema General de Regalías. Estos proyectos en todos los casos deberán cumplir con los criterios de selección, evaluación, viabilidad, priorización y aprobación que establezca el sistema de evaluación basado en puntajes de que trata el artículo 40 de la Ley 1744 de 2014.</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Destinación de recursos del Sistema General de Regalías para la estructuración de proyectos. </w:t>
      </w:r>
      <w:r w:rsidRPr="00BC5DA9">
        <w:rPr>
          <w:rFonts w:ascii="Century Gothic" w:eastAsia="Times New Roman" w:hAnsi="Century Gothic" w:cs="Segoe UI"/>
          <w:lang w:eastAsia="es-MX"/>
        </w:rPr>
        <w:t>Los recursos provenientes del Sistema General de Regalías, a petición de los entes territoriales podrán destinarse a reconocer los costos derivados de la estructuración técnica, legal y financiera de proyectos por parte de entidades financieras del orden nacional con participación estatal. Para el caso de los recursos del Fondo de Ciencia, Tecnología e Innovación, dicho reconocimiento procederá también para las instituciones de educación superior, debidamente acreditadas institucionalmente en los términos del artículo 53 de la Ley 30 de 1992 o la norma que la modifique, aclare, adicione o sustituya, y de acuerdo con los criterios que establezca el Gobierno 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Las entidades territoriales deberán presentar ante los Órganos Colegiados de Administración y Decisión los soportes que acrediten los costos de la estructuración de los proyectos, integrados a los costos de inversión del proyecto. Una vez aprobado el proyecto y apropiados los recursos, las entidades territoriales </w:t>
      </w:r>
      <w:r w:rsidRPr="00BC5DA9">
        <w:rPr>
          <w:rFonts w:ascii="Century Gothic" w:eastAsia="Times New Roman" w:hAnsi="Century Gothic" w:cs="Segoe UI"/>
          <w:lang w:eastAsia="es-MX"/>
        </w:rPr>
        <w:lastRenderedPageBreak/>
        <w:t>deberán transferir a la entidad estructuradora el reconocimiento correspondiente, quien deberá reinvertirlo en la estructuración de otros nuevos proyectos, en beneficio de las regiones, a financiarse con cargo a los recursos del Sistema General de Regalías.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198.</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Contratos Plan. </w:t>
      </w:r>
      <w:r w:rsidRPr="00BC5DA9">
        <w:rPr>
          <w:rFonts w:ascii="Century Gothic" w:eastAsia="Times New Roman" w:hAnsi="Century Gothic" w:cs="Segoe UI"/>
          <w:lang w:eastAsia="es-MX"/>
        </w:rPr>
        <w:t>Modifíquese el artículo 8° de la Ley 1450 de 2011, el cual quedará así:</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w:t>
      </w:r>
      <w:r w:rsidRPr="00BC5DA9">
        <w:rPr>
          <w:rFonts w:ascii="Century Gothic" w:eastAsia="Times New Roman" w:hAnsi="Century Gothic" w:cs="Segoe UI"/>
          <w:b/>
          <w:bCs/>
          <w:lang w:eastAsia="es-MX"/>
        </w:rPr>
        <w:t xml:space="preserve">Artículo 8°. </w:t>
      </w:r>
      <w:r w:rsidRPr="00BC5DA9">
        <w:rPr>
          <w:rFonts w:ascii="Century Gothic" w:eastAsia="Times New Roman" w:hAnsi="Century Gothic" w:cs="Segoe UI"/>
          <w:b/>
          <w:bCs/>
          <w:i/>
          <w:iCs/>
          <w:lang w:eastAsia="es-MX"/>
        </w:rPr>
        <w:t xml:space="preserve">Contratos Plan. </w:t>
      </w:r>
      <w:r w:rsidRPr="00BC5DA9">
        <w:rPr>
          <w:rFonts w:ascii="Century Gothic" w:eastAsia="Times New Roman" w:hAnsi="Century Gothic" w:cs="Segoe UI"/>
          <w:lang w:eastAsia="es-MX"/>
        </w:rPr>
        <w:t>El Contrato Plan es un acuerdo marco de voluntades de carácter estratégico entre la Nación y las entidades territoriales plasmado en un documento que contiene los arreglos programáticos y de desempeño definido entre estas para la ejecución asociada de proyectos de desarrollo territorial que contemplen la concurrencia de esfuerzos de inversión nacional y territorial.</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En desarrollo de este acuerdo marco se suscribirán contratos específicos en los cuales se señalará el objeto, las metas, los plazos, el responsable de la ejecución y se comprometerán los recursos de fuente nacional y territorial que se destinen para su ejecución, así como las vigencias futuras que se requieran. Adicionalmente, se acordarán los mecanismos de seguimiento y control de los recursos y todos los demás aspectos necesarios para garantizar la rápida y eficiente ejecución de los proyectos, atendiendo las prioridades y particularidades de cada sector y cada región”.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contratos Plan constituyen un instrumento para el planeamiento y la promoción del desarrollo regional. En tal sentido son un punto de articulación del Plan Nacional de Desarrollo y los Planes Departamentales y Municipales.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Gobierno nacional buscará que, en los casos que corresponda, sus acciones en materia de inversión pública operen bajo este esquema. El Departamento Nacional de Planeación (DNP) promoverá la aplicación de esta herramienta, así como establecerá los mecanismos de seguimiento y evaluación de los Contratos Plan acordados por el Gobierno 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199.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Mecanismos para la ejecución de los Contratos Plan. </w:t>
      </w:r>
      <w:r w:rsidRPr="00BC5DA9">
        <w:rPr>
          <w:rFonts w:ascii="Century Gothic" w:eastAsia="Times New Roman" w:hAnsi="Century Gothic" w:cs="Segoe UI"/>
          <w:lang w:eastAsia="es-MX"/>
        </w:rPr>
        <w:t>Créase el Fondo Regional para los Contratos Plan como un instrumento de gestión para facilitar la ejecución de estos contratos. Este Fondo de naturaleza especial, será una cuenta sin personería jurídica, adscrita al Departamento Nacional de Planeación que podrá ser administrada por una entidad financiera del orden nacional, con participación estatal. Estará constituido con los recursos provenientes de las diferentes fuentes de financiación que en él concurran y sus recursos se destinarán al cumplimiento de los acuerdos, objetivos, metas y resultados convenidos en cada Contrato Plan.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recursos diferentes a aquellos provenientes del Presupuesto General de la Nación que concurran a este Fondo, ingresarán en calidad de depósito y se ejecutarán conforme a los mecanismos que se acuerden para cada caso, en subcuentas separadas por cada Contrato Plan.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desarrollo del principio de especialización los proyectos que se ejecuten en el marco de los contratos Plan deberán contar con el concepto técnico previo del Ministerio o del departamento Administrativo del ramo o sector.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 anterior, sin perjuicio de otros mecanismos que puedan acordar las partes para la administración y ejecución de los Contratos Plan.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Gobierno nacional establecerá una bolsa de recursos para incentivar a las entidades territoriales para que concurran con sus recursos propios y obtengan los mejores resultados en el desarrollo y ejecución de los Contratos Plan.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200.</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Planeación y políticas públicas orientadas al cierre de brechas </w:t>
      </w:r>
      <w:proofErr w:type="spellStart"/>
      <w:r w:rsidRPr="00BC5DA9">
        <w:rPr>
          <w:rStyle w:val="a7"/>
          <w:rFonts w:ascii="Century Gothic" w:hAnsi="Century Gothic" w:cs="Segoe UI"/>
          <w:i/>
          <w:iCs/>
          <w:sz w:val="22"/>
          <w:szCs w:val="22"/>
        </w:rPr>
        <w:t>intra</w:t>
      </w:r>
      <w:proofErr w:type="spellEnd"/>
      <w:r w:rsidRPr="00BC5DA9">
        <w:rPr>
          <w:rStyle w:val="a7"/>
          <w:rFonts w:ascii="Century Gothic" w:hAnsi="Century Gothic" w:cs="Segoe UI"/>
          <w:i/>
          <w:iCs/>
          <w:sz w:val="22"/>
          <w:szCs w:val="22"/>
        </w:rPr>
        <w:t xml:space="preserve"> e interregionales. </w:t>
      </w:r>
      <w:r w:rsidRPr="00BC5DA9">
        <w:rPr>
          <w:rStyle w:val="a7"/>
          <w:rFonts w:ascii="Century Gothic" w:hAnsi="Century Gothic" w:cs="Segoe UI"/>
          <w:sz w:val="22"/>
          <w:szCs w:val="22"/>
        </w:rPr>
        <w:t xml:space="preserve">El Gobierno nacional, y los gobiernos departamentales municipales enfocarán sus planes de desarrollo y articularán sus políticas, estrategias e inversiones dando prioridad al cierre de brechas socioeconómicas </w:t>
      </w:r>
      <w:proofErr w:type="spellStart"/>
      <w:r w:rsidRPr="00BC5DA9">
        <w:rPr>
          <w:rStyle w:val="a7"/>
          <w:rFonts w:ascii="Century Gothic" w:hAnsi="Century Gothic" w:cs="Segoe UI"/>
          <w:sz w:val="22"/>
          <w:szCs w:val="22"/>
        </w:rPr>
        <w:t>intra</w:t>
      </w:r>
      <w:proofErr w:type="spellEnd"/>
      <w:r w:rsidRPr="00BC5DA9">
        <w:rPr>
          <w:rStyle w:val="a7"/>
          <w:rFonts w:ascii="Century Gothic" w:hAnsi="Century Gothic" w:cs="Segoe UI"/>
          <w:sz w:val="22"/>
          <w:szCs w:val="22"/>
        </w:rPr>
        <w:t xml:space="preserve"> e interregionales, de acuerdo con su identificación objetiva a partir de la información estadística oficial disponible. El Departamento Nacional de Planeación definirá con cada sector la forma como se implementará dicha priorización mediante el rediseño de programas, el </w:t>
      </w:r>
      <w:proofErr w:type="spellStart"/>
      <w:r w:rsidRPr="00BC5DA9">
        <w:rPr>
          <w:rStyle w:val="a7"/>
          <w:rFonts w:ascii="Century Gothic" w:hAnsi="Century Gothic" w:cs="Segoe UI"/>
          <w:sz w:val="22"/>
          <w:szCs w:val="22"/>
        </w:rPr>
        <w:t>redireccionamiento</w:t>
      </w:r>
      <w:proofErr w:type="spellEnd"/>
      <w:r w:rsidRPr="00BC5DA9">
        <w:rPr>
          <w:rStyle w:val="a7"/>
          <w:rFonts w:ascii="Century Gothic" w:hAnsi="Century Gothic" w:cs="Segoe UI"/>
          <w:sz w:val="22"/>
          <w:szCs w:val="22"/>
        </w:rPr>
        <w:t xml:space="preserve"> de recursos o el desarrollo de nuevas intervenciones. Lo anterior con el fin de promover la convergencia regional y la igualdad de oportunidades en cuanto a las condiciones de acceso a los servicios del Estado y al beneficio equitativo de los frutos del desarrollo por parte de todas las entidades territoriales y sus pobladores.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xml:space="preserve">En la implementación de este enfoque, las entidades nacionales y los gobiernos </w:t>
      </w:r>
      <w:proofErr w:type="spellStart"/>
      <w:r w:rsidRPr="00BC5DA9">
        <w:rPr>
          <w:rStyle w:val="a7"/>
          <w:rFonts w:ascii="Century Gothic" w:hAnsi="Century Gothic" w:cs="Segoe UI"/>
          <w:sz w:val="22"/>
          <w:szCs w:val="22"/>
        </w:rPr>
        <w:t>subnacionales</w:t>
      </w:r>
      <w:proofErr w:type="spellEnd"/>
      <w:r w:rsidRPr="00BC5DA9">
        <w:rPr>
          <w:rStyle w:val="a7"/>
          <w:rFonts w:ascii="Century Gothic" w:hAnsi="Century Gothic" w:cs="Segoe UI"/>
          <w:sz w:val="22"/>
          <w:szCs w:val="22"/>
        </w:rPr>
        <w:t xml:space="preserve"> darán prioridad a las zonas más rezagadas, con especial atención en las zonas de frontera.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El Gobierno nacional, a través del Departamento Nacional de Planeación, establecerá los mecanismos y criterios con los cuales se evaluará la articulación de los planes de desarrollo </w:t>
      </w:r>
      <w:proofErr w:type="gramStart"/>
      <w:r w:rsidRPr="00BC5DA9">
        <w:rPr>
          <w:rStyle w:val="a7"/>
          <w:rFonts w:ascii="Century Gothic" w:hAnsi="Century Gothic" w:cs="Segoe UI"/>
          <w:sz w:val="22"/>
          <w:szCs w:val="22"/>
        </w:rPr>
        <w:t>departamentales y municipales</w:t>
      </w:r>
      <w:proofErr w:type="gramEnd"/>
      <w:r w:rsidRPr="00BC5DA9">
        <w:rPr>
          <w:rStyle w:val="a7"/>
          <w:rFonts w:ascii="Century Gothic" w:hAnsi="Century Gothic" w:cs="Segoe UI"/>
          <w:sz w:val="22"/>
          <w:szCs w:val="22"/>
        </w:rPr>
        <w:t xml:space="preserve"> frente a la estrategia de brechas del Plan Nacional de Desarrollo. El Gobierno Nacional establecerá indicadores diferenciales y metas que permitan medir la inclusión social en diversos sectores relacionados con las políticas orientadas al cierre de brechas.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201.</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Programas y proyectos para el desarrollo y la integración fronteriza. </w:t>
      </w:r>
      <w:r w:rsidRPr="00BC5DA9">
        <w:rPr>
          <w:rStyle w:val="a7"/>
          <w:rFonts w:ascii="Century Gothic" w:hAnsi="Century Gothic" w:cs="Segoe UI"/>
          <w:sz w:val="22"/>
          <w:szCs w:val="22"/>
        </w:rPr>
        <w:t>A partir del año 2016, cada Ministerio, departamento administrativo y demás entidades del orden nacional, identificarán en el marco de sus competencias, los programas y proyectos específicos encaminados al desarrollo e integración de las regiones de fronteras. Dichos programas serán concertados con las entidades territoriales fronterizas del país.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lastRenderedPageBreak/>
        <w:t>Artículo 202</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Del Comité Directivo del Fondo Promoción Turística. </w:t>
      </w:r>
      <w:r w:rsidRPr="00BC5DA9">
        <w:rPr>
          <w:rStyle w:val="a7"/>
          <w:rFonts w:ascii="Century Gothic" w:hAnsi="Century Gothic" w:cs="Segoe UI"/>
          <w:sz w:val="22"/>
          <w:szCs w:val="22"/>
        </w:rPr>
        <w:t>Modifíquese el artículo 11 de la Ley 1101 de 2006, modificatorio del artículo 46 de la Ley 300 de 1996,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11. </w:t>
      </w:r>
      <w:r w:rsidRPr="00BC5DA9">
        <w:rPr>
          <w:rStyle w:val="a7"/>
          <w:rFonts w:ascii="Century Gothic" w:hAnsi="Century Gothic" w:cs="Segoe UI"/>
          <w:b/>
          <w:bCs/>
          <w:i/>
          <w:iCs/>
          <w:sz w:val="22"/>
          <w:szCs w:val="22"/>
        </w:rPr>
        <w:t xml:space="preserve">Del Comité Directivo del Fondo Promoción Turística. </w:t>
      </w:r>
      <w:r w:rsidRPr="00BC5DA9">
        <w:rPr>
          <w:rStyle w:val="a7"/>
          <w:rFonts w:ascii="Century Gothic" w:hAnsi="Century Gothic" w:cs="Segoe UI"/>
          <w:sz w:val="22"/>
          <w:szCs w:val="22"/>
        </w:rPr>
        <w:t>El Fondo de Promoción Turística tendrá un Comité Directivo, cuya integración será definida por el Gobierno nacional mediante decreto, para lo cual deberá garantizar la participación en el mismo del sector privado, las organizaciones gremiales de aportantes y las entidades territoriales.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1°.</w:t>
      </w:r>
      <w:r w:rsidRPr="00BC5DA9">
        <w:rPr>
          <w:rStyle w:val="a7"/>
          <w:rFonts w:ascii="Century Gothic" w:hAnsi="Century Gothic" w:cs="Segoe UI"/>
          <w:sz w:val="22"/>
          <w:szCs w:val="22"/>
        </w:rPr>
        <w:t xml:space="preserve"> La adopción de las decisiones del comité directivo, requerirá el voto favorable del Ministerio de Comercio Industria y Turismo.</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transitorio.</w:t>
      </w:r>
      <w:r w:rsidRPr="00BC5DA9">
        <w:rPr>
          <w:rStyle w:val="a7"/>
          <w:rFonts w:ascii="Century Gothic" w:hAnsi="Century Gothic" w:cs="Segoe UI"/>
          <w:sz w:val="22"/>
          <w:szCs w:val="22"/>
        </w:rPr>
        <w:t xml:space="preserve"> El Comité Directivo del Fondo Nacional de Turismo a que se refiere el artículo 20 de la Ley 1558 de 2012, continuará ejerciendo sus funciones hasta que se integre el nuevo comité de que trata este artículo, que no podrá exceder el término de seis (6) meses contados a partir de la promulgación de esta ley”.</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203</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Recursos de </w:t>
      </w:r>
      <w:proofErr w:type="spellStart"/>
      <w:r w:rsidRPr="00BC5DA9">
        <w:rPr>
          <w:rStyle w:val="a7"/>
          <w:rFonts w:ascii="Century Gothic" w:hAnsi="Century Gothic" w:cs="Segoe UI"/>
          <w:i/>
          <w:iCs/>
          <w:sz w:val="22"/>
          <w:szCs w:val="22"/>
        </w:rPr>
        <w:t>Fontur</w:t>
      </w:r>
      <w:proofErr w:type="spellEnd"/>
      <w:r w:rsidRPr="00BC5DA9">
        <w:rPr>
          <w:rStyle w:val="a7"/>
          <w:rFonts w:ascii="Century Gothic" w:hAnsi="Century Gothic" w:cs="Segoe UI"/>
          <w:sz w:val="22"/>
          <w:szCs w:val="22"/>
        </w:rPr>
        <w:t>. Los recursos del Presupuesto Nacional a los que se refiere el artículo 21 de la Ley 1558 de 2012, serán ejecutados por el Ministerio de Comercio, Industria y Turismo, quien podrá delegar dicha ejecución en el Fondo Nacional de Turismo (</w:t>
      </w:r>
      <w:proofErr w:type="spellStart"/>
      <w:r w:rsidRPr="00BC5DA9">
        <w:rPr>
          <w:rStyle w:val="a7"/>
          <w:rFonts w:ascii="Century Gothic" w:hAnsi="Century Gothic" w:cs="Segoe UI"/>
          <w:sz w:val="22"/>
          <w:szCs w:val="22"/>
        </w:rPr>
        <w:t>Fontur</w:t>
      </w:r>
      <w:proofErr w:type="spellEnd"/>
      <w:r w:rsidRPr="00BC5DA9">
        <w:rPr>
          <w:rStyle w:val="a7"/>
          <w:rFonts w:ascii="Century Gothic" w:hAnsi="Century Gothic" w:cs="Segoe UI"/>
          <w:sz w:val="22"/>
          <w:szCs w:val="22"/>
        </w:rPr>
        <w:t>) y para tal efecto los transferirá al patrimonio autónomo.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b/>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204.</w:t>
      </w:r>
      <w:r w:rsidRPr="00BC5DA9">
        <w:rPr>
          <w:rStyle w:val="a7"/>
          <w:rFonts w:ascii="Century Gothic" w:hAnsi="Century Gothic" w:cs="Segoe UI"/>
          <w:sz w:val="22"/>
          <w:szCs w:val="22"/>
        </w:rPr>
        <w:t xml:space="preserve"> Estímulos para el uso de la bicicleta y los </w:t>
      </w:r>
      <w:proofErr w:type="spellStart"/>
      <w:r w:rsidRPr="00BC5DA9">
        <w:rPr>
          <w:rStyle w:val="a7"/>
          <w:rFonts w:ascii="Century Gothic" w:hAnsi="Century Gothic" w:cs="Segoe UI"/>
          <w:i/>
          <w:iCs/>
          <w:sz w:val="22"/>
          <w:szCs w:val="22"/>
        </w:rPr>
        <w:t>tricimóviles</w:t>
      </w:r>
      <w:proofErr w:type="spellEnd"/>
      <w:r w:rsidRPr="00BC5DA9">
        <w:rPr>
          <w:rStyle w:val="a7"/>
          <w:rFonts w:ascii="Century Gothic" w:hAnsi="Century Gothic" w:cs="Segoe UI"/>
          <w:i/>
          <w:iCs/>
          <w:sz w:val="22"/>
          <w:szCs w:val="22"/>
        </w:rPr>
        <w:t xml:space="preserve"> no motorizados. </w:t>
      </w:r>
      <w:r w:rsidRPr="00BC5DA9">
        <w:rPr>
          <w:rStyle w:val="a7"/>
          <w:rFonts w:ascii="Century Gothic" w:hAnsi="Century Gothic" w:cs="Segoe UI"/>
          <w:sz w:val="22"/>
          <w:szCs w:val="22"/>
        </w:rPr>
        <w:t xml:space="preserve">El Gobierno Nacional, a través del Ministerio de Transporte, realizará acciones tendientes a promover el uso de modos no motorizados y tecnologías limpias, tales como bicicleta, </w:t>
      </w:r>
      <w:proofErr w:type="spellStart"/>
      <w:r w:rsidRPr="00BC5DA9">
        <w:rPr>
          <w:rStyle w:val="a7"/>
          <w:rFonts w:ascii="Century Gothic" w:hAnsi="Century Gothic" w:cs="Segoe UI"/>
          <w:sz w:val="22"/>
          <w:szCs w:val="22"/>
        </w:rPr>
        <w:t>tricimóviles</w:t>
      </w:r>
      <w:proofErr w:type="spellEnd"/>
      <w:r w:rsidRPr="00BC5DA9">
        <w:rPr>
          <w:rStyle w:val="a7"/>
          <w:rFonts w:ascii="Century Gothic" w:hAnsi="Century Gothic" w:cs="Segoe UI"/>
          <w:sz w:val="22"/>
          <w:szCs w:val="22"/>
        </w:rPr>
        <w:t xml:space="preserve"> y transporte peatonal en todo el territorio nacional.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 1°.</w:t>
      </w:r>
      <w:r w:rsidRPr="00BC5DA9">
        <w:rPr>
          <w:rStyle w:val="a7"/>
          <w:rFonts w:ascii="Century Gothic" w:hAnsi="Century Gothic" w:cs="Segoe UI"/>
          <w:sz w:val="22"/>
          <w:szCs w:val="22"/>
        </w:rPr>
        <w:t xml:space="preserve"> En un plazo no mayor a dos (2) años el Ministerio de Transporte reglamentará la prestación del servicio de transporte público en </w:t>
      </w:r>
      <w:proofErr w:type="spellStart"/>
      <w:r w:rsidRPr="00BC5DA9">
        <w:rPr>
          <w:rStyle w:val="a7"/>
          <w:rFonts w:ascii="Century Gothic" w:hAnsi="Century Gothic" w:cs="Segoe UI"/>
          <w:sz w:val="22"/>
          <w:szCs w:val="22"/>
        </w:rPr>
        <w:t>tricimóviles</w:t>
      </w:r>
      <w:proofErr w:type="spellEnd"/>
      <w:r w:rsidRPr="00BC5DA9">
        <w:rPr>
          <w:rStyle w:val="a7"/>
          <w:rFonts w:ascii="Century Gothic" w:hAnsi="Century Gothic" w:cs="Segoe UI"/>
          <w:sz w:val="22"/>
          <w:szCs w:val="22"/>
        </w:rPr>
        <w:t xml:space="preserve"> no motorizados y la posibilidad de alimentación de los mismos a los SITM, SETP, SITP y SITR de acuerdo con las necesidades propias de cada sistema.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En un plazo no mayor a dos (2) años el Ministerio de Transporte diseñará una metodología para incluir en los futuros proyectos de interconexión vial las condiciones en las que debe incluirse infraestructura segregada (</w:t>
      </w:r>
      <w:proofErr w:type="spellStart"/>
      <w:r w:rsidRPr="00BC5DA9">
        <w:rPr>
          <w:rStyle w:val="a7"/>
          <w:rFonts w:ascii="Century Gothic" w:hAnsi="Century Gothic" w:cs="Segoe UI"/>
          <w:sz w:val="22"/>
          <w:szCs w:val="22"/>
        </w:rPr>
        <w:t>ciclorrutas</w:t>
      </w:r>
      <w:proofErr w:type="spellEnd"/>
      <w:r w:rsidRPr="00BC5DA9">
        <w:rPr>
          <w:rStyle w:val="a7"/>
          <w:rFonts w:ascii="Century Gothic" w:hAnsi="Century Gothic" w:cs="Segoe UI"/>
          <w:sz w:val="22"/>
          <w:szCs w:val="22"/>
        </w:rPr>
        <w:t xml:space="preserve"> o carril-bici) en zonas de alto flujo de ciclistas en entornos intermunicipales, ingresos a grandes ciudades, contornos o variantes urbanas, zonas de alta velocidad o de alto volumen de tráfico.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205.</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Celebración de contratos de obra pública en infraestructura concesionada</w:t>
      </w:r>
      <w:r w:rsidRPr="00BC5DA9">
        <w:rPr>
          <w:rStyle w:val="a7"/>
          <w:rFonts w:ascii="Century Gothic" w:hAnsi="Century Gothic" w:cs="Segoe UI"/>
          <w:sz w:val="22"/>
          <w:szCs w:val="22"/>
        </w:rPr>
        <w:t>. El Instituto Nacional de Vías (</w:t>
      </w:r>
      <w:proofErr w:type="spellStart"/>
      <w:r w:rsidRPr="00BC5DA9">
        <w:rPr>
          <w:rStyle w:val="a7"/>
          <w:rFonts w:ascii="Century Gothic" w:hAnsi="Century Gothic" w:cs="Segoe UI"/>
          <w:sz w:val="22"/>
          <w:szCs w:val="22"/>
        </w:rPr>
        <w:t>Invías</w:t>
      </w:r>
      <w:proofErr w:type="spellEnd"/>
      <w:r w:rsidRPr="00BC5DA9">
        <w:rPr>
          <w:rStyle w:val="a7"/>
          <w:rFonts w:ascii="Century Gothic" w:hAnsi="Century Gothic" w:cs="Segoe UI"/>
          <w:sz w:val="22"/>
          <w:szCs w:val="22"/>
        </w:rPr>
        <w:t xml:space="preserve">) podrá, excepcionalmente, celebrar y ejecutar contratos de obra pública para realizar obras complementarias sobre infraestructura concesionada, sin que sea necesaria la desafectación de la infraestructura a intervenir. El objeto de dichos contratos de </w:t>
      </w:r>
      <w:r w:rsidRPr="00BC5DA9">
        <w:rPr>
          <w:rStyle w:val="a7"/>
          <w:rFonts w:ascii="Century Gothic" w:hAnsi="Century Gothic" w:cs="Segoe UI"/>
          <w:sz w:val="22"/>
          <w:szCs w:val="22"/>
        </w:rPr>
        <w:lastRenderedPageBreak/>
        <w:t xml:space="preserve">obra pública no podrá comprender obras o inversiones que cambien sustancialmente el alcance del proyecto. La realización de la obra pública deberá ser pactada mediante convenio a celebrarse entre el </w:t>
      </w:r>
      <w:proofErr w:type="spellStart"/>
      <w:r w:rsidRPr="00BC5DA9">
        <w:rPr>
          <w:rStyle w:val="a7"/>
          <w:rFonts w:ascii="Century Gothic" w:hAnsi="Century Gothic" w:cs="Segoe UI"/>
          <w:sz w:val="22"/>
          <w:szCs w:val="22"/>
        </w:rPr>
        <w:t>Invías</w:t>
      </w:r>
      <w:proofErr w:type="spellEnd"/>
      <w:r w:rsidRPr="00BC5DA9">
        <w:rPr>
          <w:rStyle w:val="a7"/>
          <w:rFonts w:ascii="Century Gothic" w:hAnsi="Century Gothic" w:cs="Segoe UI"/>
          <w:sz w:val="22"/>
          <w:szCs w:val="22"/>
        </w:rPr>
        <w:t xml:space="preserve"> y la entidad pública a cargo del contrato de concesión. En estos convenios se definirá la fuente de financiación y entidad responsable de la ejecución y mantenimiento de la obra, así como las demás condiciones necesarias para el efecto. Previamente, la entidad estatal concedente de la infraestructura y el concesionario, deberán acordar los términos en que este colaborará y apoyará la realización de dichas obras.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206.</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Evaluación y priorización de proyectos de asociación público privada</w:t>
      </w:r>
      <w:r w:rsidRPr="00BC5DA9">
        <w:rPr>
          <w:rStyle w:val="a7"/>
          <w:rFonts w:ascii="Century Gothic" w:hAnsi="Century Gothic" w:cs="Segoe UI"/>
          <w:sz w:val="22"/>
          <w:szCs w:val="22"/>
        </w:rPr>
        <w:t>. En proyectos de asociación público privada distintos de proyectos nacionales de infraestructura de transporte, la entidad competente deberá verificar si el proyecto se ajusta a las políticas sectoriales y a la priorización de proyectos a ser desarrollados. Resultado de esta verificación, la entidad estatal competente solicitará al Departamento Nacional de Planeación o a la entidad de planeación de la respectiva entidad territorial, según corresponda, su concepto o recomendaciones sobre el proyecto con fundamento en la información suministrada por la entidad pública, en particular, si el proyecto se ajusta a los planes de mediano y largo plazo del sector, y reúne las condiciones que permitan inferir que podría ser desarrollado bajo el esquema de asociación público privada. Para facilitar dicha evaluación, el Departamento Nacional de Planeación expedirá metodologías y documentos de apoyo que permitan conocer con anticipación, los requisitos y parámetros que deberá cumplir la entidad competente para solicitar dicho concepto.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xml:space="preserve">Este concepto deberá ser solicitado previamente a la aceptación de la </w:t>
      </w:r>
      <w:proofErr w:type="spellStart"/>
      <w:r w:rsidRPr="00BC5DA9">
        <w:rPr>
          <w:rStyle w:val="a7"/>
          <w:rFonts w:ascii="Century Gothic" w:hAnsi="Century Gothic" w:cs="Segoe UI"/>
          <w:sz w:val="22"/>
          <w:szCs w:val="22"/>
        </w:rPr>
        <w:t>prefactibilidad</w:t>
      </w:r>
      <w:proofErr w:type="spellEnd"/>
      <w:r w:rsidRPr="00BC5DA9">
        <w:rPr>
          <w:rStyle w:val="a7"/>
          <w:rFonts w:ascii="Century Gothic" w:hAnsi="Century Gothic" w:cs="Segoe UI"/>
          <w:sz w:val="22"/>
          <w:szCs w:val="22"/>
        </w:rPr>
        <w:t xml:space="preserve"> en el caso de iniciativas privadas o en una etapa similar en el caso de iniciativas públicas. La entidad competente deberá considerar en sus estructuraciones la posibilidad y los mecanismos de terminación anticipada en caso de que el concepto al cual se ha hecho referencia, sea desfavorable y considere acogerlo.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En todo caso, este concepto no implica una aprobación del proyecto, ni exceptúa a la entidad pública competente de justificar una vez se encuentre estructurado el proyecto, la utilización del mecanismo de asociación público privada como una modalidad eficiente para el desarrollo del proyecto, de conformidad con los parámetros definidos por el Departamento Nacional de Planeación.</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207.</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Ajuste del marco regulatorio de la Comisión de Regulación de Comunicaciones</w:t>
      </w:r>
      <w:r w:rsidRPr="00BC5DA9">
        <w:rPr>
          <w:rStyle w:val="a7"/>
          <w:rFonts w:ascii="Century Gothic" w:hAnsi="Century Gothic" w:cs="Segoe UI"/>
          <w:sz w:val="22"/>
          <w:szCs w:val="22"/>
        </w:rPr>
        <w:t>. Modifíquese el artículo 20 de la Ley 1341 de 2009,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sz w:val="22"/>
          <w:szCs w:val="22"/>
        </w:rPr>
        <w:t>Artículo 20.</w:t>
      </w:r>
      <w:r w:rsidRPr="00BC5DA9">
        <w:rPr>
          <w:rStyle w:val="a7"/>
          <w:rFonts w:ascii="Century Gothic" w:hAnsi="Century Gothic" w:cs="Segoe UI"/>
          <w:sz w:val="22"/>
          <w:szCs w:val="22"/>
        </w:rPr>
        <w:t xml:space="preserve"> Composición de la Comisión de Regulación de Comunicaciones (CRC).</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lastRenderedPageBreak/>
        <w:t>Para el cumplimiento de sus funciones, la Comisión de Regulación de Comunicaciones tendrá la siguiente composición: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El Ministro de Tecnologías de la Información y las Comunicaciones, o el Viceministro general como su delegado, el Director del Departamento Nacional de Planeación o el Subdirector como su delegado, y tres (3) comisionados de dedicación exclusiva para períodos de cuatro (4) años, no sujetos a las disposiciones que regulan la carrera administrativa. Los comisionados serán designados por el Presidente de la República los cuales podrán ser abogados, ingenieros electrónicos o de telecomunicaciones o economistas. En todo caso, al menos un comisionado deberá ser ingeniero.</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Los comisionados deben ser ciudadanos colombianos mayores de 30 años, con título de pregrado y maestría o doctorado afines, y con experiencia mínima relacionada de ocho (8) años en el ejercicio profesional.</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Uno de los comisionados, en forma rotatoria, ejercerá las funciones de Director Ejecutivo de acuerdo con el reglamento interno, adoptado por la misma Comisión.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1°.</w:t>
      </w:r>
      <w:r w:rsidRPr="00BC5DA9">
        <w:rPr>
          <w:rStyle w:val="a7"/>
          <w:rFonts w:ascii="Century Gothic" w:hAnsi="Century Gothic" w:cs="Segoe UI"/>
          <w:sz w:val="22"/>
          <w:szCs w:val="22"/>
        </w:rPr>
        <w:t xml:space="preserve"> La Presidencia de la Sesión de CRC será ejercida por quien los miembros de la Comisión designen, y la misma podrá sesionar y decidir con la mayoría simple de sus miembros.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La CRC contará adicionalmente con una Coordinación Ejecutiva. La Dirección Ejecutiva y la Coordinación Ejecutiva, cumplirán sus funciones con el apoyo de grupos internos de trabajo, definidos en su reglamento interno.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208.</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Sanciones de la </w:t>
      </w:r>
      <w:proofErr w:type="spellStart"/>
      <w:r w:rsidRPr="00BC5DA9">
        <w:rPr>
          <w:rStyle w:val="a7"/>
          <w:rFonts w:ascii="Century Gothic" w:hAnsi="Century Gothic" w:cs="Segoe UI"/>
          <w:i/>
          <w:iCs/>
          <w:sz w:val="22"/>
          <w:szCs w:val="22"/>
        </w:rPr>
        <w:t>Superservicios</w:t>
      </w:r>
      <w:proofErr w:type="spellEnd"/>
      <w:r w:rsidRPr="00BC5DA9">
        <w:rPr>
          <w:rStyle w:val="a7"/>
          <w:rFonts w:ascii="Century Gothic" w:hAnsi="Century Gothic" w:cs="Segoe UI"/>
          <w:sz w:val="22"/>
          <w:szCs w:val="22"/>
        </w:rPr>
        <w:t>. Modifíquese el numeral 81.2 y adiciónense dos parágrafos al artículo 81 de la Ley 142 de 1994, los cuales quedarán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“81.2. Multas hasta por el equivalente a dos mil (2.000) salarios mínimos legales mensuales para personas naturales y hasta por el equivalente a cien mil (100.000) salarios mínimos legales mensuales para personas jurídicas. Si el infractor no proporciona información suficiente para determinar el monto, dentro de los treinta días siguientes al requerimiento que se le formule, se le aplicarán las otras sanciones que aquí se prevén. Los recursos producto de las multas que imponga esta Superintendencia ingresarán al Fondo Empresarial creado por la Ley 812 de 2003. Las empresas a las que se multe podrán repetir contra quienes hubieran realizado los actos u omisiones que dieron lugar a la sanción. La repetición será obligatoria cuando se trate de servidores públicos, de conformidad con el artículo 90 de la Constitución”.</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sz w:val="22"/>
          <w:szCs w:val="22"/>
        </w:rPr>
        <w:t>Parágrafo 1°.</w:t>
      </w:r>
      <w:r w:rsidRPr="00BC5DA9">
        <w:rPr>
          <w:rStyle w:val="a7"/>
          <w:rFonts w:ascii="Century Gothic" w:hAnsi="Century Gothic" w:cs="Segoe UI"/>
          <w:sz w:val="22"/>
          <w:szCs w:val="22"/>
        </w:rPr>
        <w:t xml:space="preserve"> Sobre las multas a las que hace referencia el numeral 81.2 del presente artículo, el Gobierno Nacional dentro de los seis (6) meses siguientes a la entrada en vigencia de la presente ley reglamentará los criterios y la metodología para graduar y calcular las multas. En todo caso la </w:t>
      </w:r>
      <w:r w:rsidRPr="00BC5DA9">
        <w:rPr>
          <w:rStyle w:val="a7"/>
          <w:rFonts w:ascii="Century Gothic" w:hAnsi="Century Gothic" w:cs="Segoe UI"/>
          <w:sz w:val="22"/>
          <w:szCs w:val="22"/>
        </w:rPr>
        <w:lastRenderedPageBreak/>
        <w:t>reglamentación del Gobierno Nacional tendrá en cuenta criterios como el impacto de la infracción sobre la prestación del servicio público, el tiempo durante el cual se presentó la infracción, el número de usuarios afectados, el beneficio obtenido por el infractor, la cuota del mercado o el beneficio económico que se hubiere obtenido producto de la infracción.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La reglamentación también incorporará circunstancias de agravación y atenuación como el factor de reincidencia, la existencia de antecedentes en relación con incumplimiento de compromisos adquiridos o de órdenes de la Superintendencia de Servicios Públicos Domiciliarios y la colaboración con las autoridades en el conocimiento o en la investigación de la conducta.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La facultad que tiene la Superintendencia de Servicios Públicos Domiciliarios para imponer una sanción por la violación del régimen de prestación de los servicios públicos caducará transcurridos cinco (5) años de haberse ejecutado la conducta violatoria o del último hecho constitutivo de la misma en los casos de conductas de tracto sucesivo, sin que el acto administrativo sancionatorio haya sido notificado”.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209.</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Guía única de transporte de gas licuado de petróleo</w:t>
      </w:r>
      <w:r w:rsidRPr="00BC5DA9">
        <w:rPr>
          <w:rStyle w:val="a7"/>
          <w:rFonts w:ascii="Century Gothic" w:hAnsi="Century Gothic" w:cs="Segoe UI"/>
          <w:sz w:val="22"/>
          <w:szCs w:val="22"/>
        </w:rPr>
        <w:t>. Con el fin de combatir el transporte ilegal de gas licuado de petróleo (GLP), el Ministerio de Minas y Energía reglamentará el uso de la Guía Única de Transporte de Gas Licuado de Petróleo de acuerdo con lo previsto en el Capítulo X del Decreto número 4299 de 2005; esta guía se constituye en requisito indispensable para el transporte de este combustible por parte de los agentes de la cadena.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210.</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Sistema de información de combustibles</w:t>
      </w:r>
      <w:r w:rsidRPr="00BC5DA9">
        <w:rPr>
          <w:rStyle w:val="a7"/>
          <w:rFonts w:ascii="Century Gothic" w:hAnsi="Century Gothic" w:cs="Segoe UI"/>
          <w:sz w:val="22"/>
          <w:szCs w:val="22"/>
        </w:rPr>
        <w:t>. El Sistema de Información creado mediante el artículo 61 de la Ley 1151 del 2007 y modificado por el artículo 100 de la Ley 1450 del 2011, denominado Sistema de Información de Combustibles, seguirá funcionando para realizar un eficiente control sobre los agentes de la cadena de distribución de combustibles líquidos, biocombustibles, gas natural vehicular (GNV) y gas licuado de petróleo (GLP) para uso vehicular.</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Ministerio de Minas y Energía dará continuidad directamente o por intermedio de terceros a la operación de este sistema en el cual se deberán registrar, como requisito para operar, los mencionados agentes. El Ministerio de Minas y Energía continuará reglamentando los procedimientos, términos y condiciones operativas del sistema, para lo cual aplicará las medidas necesarias para su cumplimiento.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xml:space="preserve">El </w:t>
      </w:r>
      <w:proofErr w:type="spellStart"/>
      <w:r w:rsidRPr="00BC5DA9">
        <w:rPr>
          <w:rStyle w:val="a7"/>
          <w:rFonts w:ascii="Century Gothic" w:hAnsi="Century Gothic" w:cs="Segoe UI"/>
          <w:sz w:val="22"/>
          <w:szCs w:val="22"/>
        </w:rPr>
        <w:t>Sicom</w:t>
      </w:r>
      <w:proofErr w:type="spellEnd"/>
      <w:r w:rsidRPr="00BC5DA9">
        <w:rPr>
          <w:rStyle w:val="a7"/>
          <w:rFonts w:ascii="Century Gothic" w:hAnsi="Century Gothic" w:cs="Segoe UI"/>
          <w:sz w:val="22"/>
          <w:szCs w:val="22"/>
        </w:rPr>
        <w:t xml:space="preserve"> será la única fuente de información oficial a la cual deben dirigirse todas las autoridades administrativas de cualquier orden que requieran de información de los agentes de la cadena de distribución de combustibles en el país.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 1°.</w:t>
      </w:r>
      <w:r w:rsidRPr="00BC5DA9">
        <w:rPr>
          <w:rStyle w:val="a7"/>
          <w:rFonts w:ascii="Century Gothic" w:hAnsi="Century Gothic" w:cs="Segoe UI"/>
          <w:sz w:val="22"/>
          <w:szCs w:val="22"/>
        </w:rPr>
        <w:t xml:space="preserve"> Autorícese el uso de gas licuado de petróleo (GLP) como carburante en motores de combustión interna, como carburante en transporte automotor (</w:t>
      </w:r>
      <w:proofErr w:type="spellStart"/>
      <w:r w:rsidRPr="00BC5DA9">
        <w:rPr>
          <w:rStyle w:val="a7"/>
          <w:rFonts w:ascii="Century Gothic" w:hAnsi="Century Gothic" w:cs="Segoe UI"/>
          <w:sz w:val="22"/>
          <w:szCs w:val="22"/>
        </w:rPr>
        <w:t>autogás</w:t>
      </w:r>
      <w:proofErr w:type="spellEnd"/>
      <w:r w:rsidRPr="00BC5DA9">
        <w:rPr>
          <w:rStyle w:val="a7"/>
          <w:rFonts w:ascii="Century Gothic" w:hAnsi="Century Gothic" w:cs="Segoe UI"/>
          <w:sz w:val="22"/>
          <w:szCs w:val="22"/>
        </w:rPr>
        <w:t>) y demás usos alternativos del GLP en todo el territorio nacional.</w:t>
      </w:r>
    </w:p>
    <w:p w:rsidR="002732EB" w:rsidRPr="00BC5DA9" w:rsidRDefault="002732EB" w:rsidP="002732EB">
      <w:pPr>
        <w:pStyle w:val="pa6"/>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lastRenderedPageBreak/>
        <w:t>El Ministerio de Minas y Energía expedirá los reglamentos necesarios para tal fin, así como las condiciones de priorización en la utilización del GLP en situaciones de escasez, y en general la política energética aplicable al GLP en todo el territorio nacional.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Cuando la oferta de gas licuado de petróleo sea insuficiente para garantizar el abastecimiento de la demanda, el Gobierno Nacional, de acuerdo con los ordenamientos y parámetros establecidos en la Ley 142 de 1994, fijará el orden de atención prioritaria en la región o regiones afectadas.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Garantía de Abastecimiento Seguro y Confiable de Combustibles. El Gobierno Nacional a través de las autoridades competentes garantizará las condiciones para asegurar la disponibilidad y suministro de combustibles líquidos en el mercado nacional, de manera confiable, continua y eficiente con producto nacional e importado.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Gobierno nacional garantizará el desarrollo normal de las actividades de refinación, transporte y distribución de combustibles del país, frente a situaciones de hecho o decisiones normativas de carácter local, regional, departamental, nacional que impidan o restrinjan la prestación de este servicio público.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211.</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Masificación del uso del gas combustible</w:t>
      </w:r>
      <w:r w:rsidRPr="00BC5DA9">
        <w:rPr>
          <w:rStyle w:val="a7"/>
          <w:rFonts w:ascii="Century Gothic" w:hAnsi="Century Gothic" w:cs="Segoe UI"/>
          <w:sz w:val="22"/>
          <w:szCs w:val="22"/>
        </w:rPr>
        <w:t>. Sin perjuicio de lo establecido en el artículo 98 de la Ley 1450 del 2011, podrán financiarse con recursos del Sistema General de Regalías o con rentas propias de los municipios o departamentos, proyectos de masificación del uso del gas combustible, mediante el otorgamiento de subsidios a los costos de conexión domiciliaria, a las redes internas y a otros gastos asociados a la conexión del servicios a cargos de los usuarios de los estratos 1, y 2, y de la población del sector rural que cumpla con las condiciones para recibir el subsidio de vivienda de interés social rural. Con cargo a sus rentas propias, los municipios y departamentos también podrán otorgar subsidios al consumo de gas combustible.</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212.</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Programa Subsidio Aporte a la Pensión</w:t>
      </w:r>
      <w:r w:rsidRPr="00BC5DA9">
        <w:rPr>
          <w:rStyle w:val="a7"/>
          <w:rFonts w:ascii="Century Gothic" w:hAnsi="Century Gothic" w:cs="Segoe UI"/>
          <w:sz w:val="22"/>
          <w:szCs w:val="22"/>
        </w:rPr>
        <w:t>. Las personas que fueron beneficiarias del programa Subsidio Aporte a la Pensión podrán vincularse al servicio complementario de Beneficios Económicos Periódicos (BEPS) y trasladar un porcentaje de dicho subsidio en la proporción y condiciones que reglamente el Gobierno Nacional. En todo caso será prioritario el reconocimiento de la pensión si se logra cumplir los requisitos para ello. Las madres comunitarias, sustitutas y FAMI también podrán beneficiarse de lo dispuesto en este artículo.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Gobierno Nacional reglamentará las condiciones para el traslado entre el sistema general de pensiones y BEPS, y la forma como el Programa Subsidio Aporte a la Pensión se cerrará gradualmente, manteniendo una alternativa para quien quiera obtener pensión.</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213.</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Reconocimiento del valor actuarial de madres comunitarias y Sustitutas. </w:t>
      </w:r>
      <w:r w:rsidRPr="00BC5DA9">
        <w:rPr>
          <w:rStyle w:val="a7"/>
          <w:rFonts w:ascii="Century Gothic" w:hAnsi="Century Gothic" w:cs="Segoe UI"/>
          <w:sz w:val="22"/>
          <w:szCs w:val="22"/>
        </w:rPr>
        <w:t>Modifíquese el artículo 166 de la Ley 1450 de 2011,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lastRenderedPageBreak/>
        <w:t>“Las Madres Comunitarias, FAMI y Sustitutas que ostentaron esta condición entre el 29 de enero de 2003 y el 14 de abril de 2008 y no tuvieron acceso al Fondo de Solidaridad Pensional durante este periodo, podrán beneficiarse del pago del valor actuarial de las cotizaciones para el citado periodo”.</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214.</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Tarifas de servicios públicos para servicios de primera infancia y hogares sustitutos</w:t>
      </w:r>
      <w:r w:rsidRPr="00BC5DA9">
        <w:rPr>
          <w:rStyle w:val="a7"/>
          <w:rFonts w:ascii="Century Gothic" w:hAnsi="Century Gothic" w:cs="Segoe UI"/>
          <w:sz w:val="22"/>
          <w:szCs w:val="22"/>
        </w:rPr>
        <w:t>. Modifíquese el artículo 127 de la Ley 1450 de 2011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sz w:val="22"/>
          <w:szCs w:val="22"/>
        </w:rPr>
        <w:t>Artículo 127.</w:t>
      </w:r>
      <w:r w:rsidRPr="00BC5DA9">
        <w:rPr>
          <w:rStyle w:val="a7"/>
          <w:rFonts w:ascii="Century Gothic" w:hAnsi="Century Gothic" w:cs="Segoe UI"/>
          <w:sz w:val="22"/>
          <w:szCs w:val="22"/>
        </w:rPr>
        <w:t xml:space="preserve"> Tarifas de servicios públicos para servicios de primera infancia y hogares sustitutos. Para efecto del cálculo de las tarifas de acueducto, alcantarillado, aseo, energía eléctrica y gas domiciliario, los inmuebles de uso residencial donde operan hogares sustitutos y donde se prestan servicios públicos de atención a primera infancia (hogares comunitarios de bienestar, centros de desarrollo infantil, hogares FAMI y hogares infantiles) serán considerados estrato uno (1), previa certificación del Instituto Colombiano de Bienestar Familiar (ICBF)”.</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215.</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Estrategia para la reducción de la mortalidad materna</w:t>
      </w:r>
      <w:r w:rsidRPr="00BC5DA9">
        <w:rPr>
          <w:rStyle w:val="a7"/>
          <w:rFonts w:ascii="Century Gothic" w:hAnsi="Century Gothic" w:cs="Segoe UI"/>
          <w:sz w:val="22"/>
          <w:szCs w:val="22"/>
        </w:rPr>
        <w:t>. El Gobierno nacional, bajo la coordinación del Ministerio de Salud y Protección Social, Instituto Colombiano de Bienestar Familiar (ICBF) y la Comisión Nacional Intersectorial para la Promoción y Garantía de los Derechos Sexuales y Reproductivos, adelantará, en unión con los entes territoriales, acciones integrales y de control exhaustivo para la identificación temprana del embarazo y atención de las embarazadas con enfoque de derecho humano.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Gobierno nacional incentivará la creación e implementación de programas para la reducción de mortalidad materna en las entidades territoriales.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216.</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Regulación de los costos de administración de información</w:t>
      </w:r>
      <w:r w:rsidRPr="00BC5DA9">
        <w:rPr>
          <w:rStyle w:val="a7"/>
          <w:rFonts w:ascii="Century Gothic" w:hAnsi="Century Gothic" w:cs="Segoe UI"/>
          <w:sz w:val="22"/>
          <w:szCs w:val="22"/>
        </w:rPr>
        <w:t>. Con base en estudios técnicos se podrán definir mecanismos que optimicen el sistema de recaudo del Sistema General de Seguridad Social, incluyendo la remuneración de los servicios relacionados con este proceso, lo cual en ningún caso podrá ser igual o mayor al valor de la cotización mensual que realice el afiliado al Sistema General de Seguridad Social. Para tal efecto, quien se encuentre prestando los servicios relacionados con los procesos de recaudo de aportes deberá remitir la información de estructura de costos que soporta esta actividad, en las condiciones que para tal fin defina el Gobierno nacional.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217.</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Ubicación en medio familiar</w:t>
      </w:r>
      <w:r w:rsidRPr="00BC5DA9">
        <w:rPr>
          <w:rStyle w:val="a7"/>
          <w:rFonts w:ascii="Century Gothic" w:hAnsi="Century Gothic" w:cs="Segoe UI"/>
          <w:sz w:val="22"/>
          <w:szCs w:val="22"/>
        </w:rPr>
        <w:t>. Modifíquese el artículo 56 de la Ley 1098 de 2005,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56. </w:t>
      </w:r>
      <w:r w:rsidRPr="00BC5DA9">
        <w:rPr>
          <w:rStyle w:val="a7"/>
          <w:rFonts w:ascii="Century Gothic" w:hAnsi="Century Gothic" w:cs="Segoe UI"/>
          <w:b/>
          <w:bCs/>
          <w:i/>
          <w:iCs/>
          <w:sz w:val="22"/>
          <w:szCs w:val="22"/>
        </w:rPr>
        <w:t xml:space="preserve">Ubicación en medio familiar. </w:t>
      </w:r>
      <w:r w:rsidRPr="00BC5DA9">
        <w:rPr>
          <w:rStyle w:val="a7"/>
          <w:rFonts w:ascii="Century Gothic" w:hAnsi="Century Gothic" w:cs="Segoe UI"/>
          <w:sz w:val="22"/>
          <w:szCs w:val="22"/>
        </w:rPr>
        <w:t>Es la ubicación del niño, niña o adolescente con sus padres, o parientes cuando estos ofrezcan las condiciones para garantizarles el ejercicio de sus derechos y atendiendo su interés superior.</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La búsqueda de parientes para la ubicación en medio familiar, cuando a ello hubiere lugar, se realizará en el marco de la actuación administrativa, esto es, </w:t>
      </w:r>
      <w:r w:rsidRPr="00BC5DA9">
        <w:rPr>
          <w:rStyle w:val="a7"/>
          <w:rFonts w:ascii="Century Gothic" w:hAnsi="Century Gothic" w:cs="Segoe UI"/>
          <w:sz w:val="22"/>
          <w:szCs w:val="22"/>
        </w:rPr>
        <w:lastRenderedPageBreak/>
        <w:t>durante los cuatro meses que dura la misma, o de la prórroga si fuere concedida, y no será excusa para mantener al niño, niña o adolescente en situación de declaratoria de vulneración. Los entes públicos y privados brindarán acceso a las solicitudes de información que en dicho sentido eleven las Defensorías de Familia, las cuales deberán ser atendidas en un término de diez (10) días. El incumplimiento de este término constituirá causal de mala conducta.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Si de la verificación del estado de sus derechos se desprende que la familia carece de recursos económicos necesarios para garantizarle el nivel de vida adecuado, la autoridad competente informará a las entidades del Sistema Nacional de Bienestar Familiar para que le brinden a la familia los recursos adecuados mientras ella puede garantizarlos.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218.</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Composición del núcleo familiar para el acceso a la seguridad social</w:t>
      </w:r>
      <w:r w:rsidRPr="00BC5DA9">
        <w:rPr>
          <w:rStyle w:val="a7"/>
          <w:rFonts w:ascii="Century Gothic" w:hAnsi="Century Gothic" w:cs="Segoe UI"/>
          <w:sz w:val="22"/>
          <w:szCs w:val="22"/>
        </w:rPr>
        <w:t>. Modifíquese el artículo 163 de la Ley 100 de 1993, el cual quedará así:</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163. </w:t>
      </w:r>
      <w:r w:rsidRPr="00BC5DA9">
        <w:rPr>
          <w:rStyle w:val="a7"/>
          <w:rFonts w:ascii="Century Gothic" w:hAnsi="Century Gothic" w:cs="Segoe UI"/>
          <w:b/>
          <w:bCs/>
          <w:i/>
          <w:iCs/>
          <w:sz w:val="22"/>
          <w:szCs w:val="22"/>
        </w:rPr>
        <w:t>Beneficiarios del régimen contributivo de salud</w:t>
      </w:r>
      <w:r w:rsidRPr="00BC5DA9">
        <w:rPr>
          <w:rStyle w:val="a7"/>
          <w:rFonts w:ascii="Century Gothic" w:hAnsi="Century Gothic" w:cs="Segoe UI"/>
          <w:i/>
          <w:iCs/>
          <w:sz w:val="22"/>
          <w:szCs w:val="22"/>
        </w:rPr>
        <w:t xml:space="preserve">. </w:t>
      </w:r>
      <w:r w:rsidRPr="00BC5DA9">
        <w:rPr>
          <w:rStyle w:val="a7"/>
          <w:rFonts w:ascii="Century Gothic" w:hAnsi="Century Gothic" w:cs="Segoe UI"/>
          <w:sz w:val="22"/>
          <w:szCs w:val="22"/>
        </w:rPr>
        <w:t>El núcleo familiar del afiliado cotizante, estará constituido por:</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a) El cónyuge.</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b) A falta de cónyuge la compañera o compañero permanente.</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c) Los hijos hasta que cumplan los veinticinco (25) años de edad que dependen económicamente del afiliado.</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d) Los hijos de cualquier edad si tienen incapacidad permanente y dependen económicamente del afiliado.</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e) Los hijos del cónyuge o compañero permanente del afiliado que se encuentren en las situaciones definidas en los numerales e) y d) del presente artículo.</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f) Los hijos de beneficiarios y hasta que dichos beneficiarios conserven su condición.</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g) Las personas identificadas en los literales e), d) y e) del presente artículo que están a cargo del afiliado familiar hasta el tercer grado de consanguinidad como consecuencia del fallecimiento o la ausencia de sus padres o la pérdida de la patria potestad por parte de los mismos.</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h) A falta de cónyuge o compañera o compañero permanente y de hijos, los padres del afiliado que no estén pensionados y dependan económicamente de este.</w:t>
      </w:r>
    </w:p>
    <w:p w:rsidR="002732EB" w:rsidRPr="00BC5DA9" w:rsidRDefault="002732EB" w:rsidP="002732EB">
      <w:pPr>
        <w:pStyle w:val="default"/>
        <w:spacing w:after="0"/>
        <w:ind w:left="567"/>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567"/>
        <w:jc w:val="both"/>
        <w:rPr>
          <w:rFonts w:ascii="Century Gothic" w:hAnsi="Century Gothic" w:cs="Arial"/>
          <w:sz w:val="22"/>
          <w:szCs w:val="22"/>
        </w:rPr>
      </w:pPr>
      <w:r w:rsidRPr="00BC5DA9">
        <w:rPr>
          <w:rStyle w:val="a7"/>
          <w:rFonts w:ascii="Century Gothic" w:hAnsi="Century Gothic" w:cs="Segoe UI"/>
          <w:sz w:val="22"/>
          <w:szCs w:val="22"/>
        </w:rPr>
        <w:t>i) Los menores entregados en custodia legal por la autoridad competente.</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lastRenderedPageBreak/>
        <w:t>Parágrafo 1°.</w:t>
      </w:r>
      <w:r w:rsidRPr="00BC5DA9">
        <w:rPr>
          <w:rStyle w:val="a7"/>
          <w:rFonts w:ascii="Century Gothic" w:hAnsi="Century Gothic" w:cs="Segoe UI"/>
          <w:sz w:val="22"/>
          <w:szCs w:val="22"/>
        </w:rPr>
        <w:t xml:space="preserve"> Se entiende que existe dependencia económica cuando una persona recibe de otra los medios necesarios para su subsistencia. En el caso de los hijos entre los 18 y 25 años se presumirá su incapacidad económica sino se encuentran cotizando directamente como dependientes o independientes.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Con el fin de garantizar la debida identificación de los recién nacidos, la Superintendencia de Notariado y Registro y las notarías implementarán medidas que permitan la expedición del registro civil de nacimiento en la institución prestadora de servicios de salud, (IPS) que atienda el parto.</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La </w:t>
      </w:r>
      <w:proofErr w:type="spellStart"/>
      <w:r w:rsidRPr="00BC5DA9">
        <w:rPr>
          <w:rStyle w:val="a7"/>
          <w:rFonts w:ascii="Century Gothic" w:hAnsi="Century Gothic" w:cs="Segoe UI"/>
          <w:sz w:val="22"/>
          <w:szCs w:val="22"/>
        </w:rPr>
        <w:t>Registraduría</w:t>
      </w:r>
      <w:proofErr w:type="spellEnd"/>
      <w:r w:rsidRPr="00BC5DA9">
        <w:rPr>
          <w:rStyle w:val="a7"/>
          <w:rFonts w:ascii="Century Gothic" w:hAnsi="Century Gothic" w:cs="Segoe UI"/>
          <w:sz w:val="22"/>
          <w:szCs w:val="22"/>
        </w:rPr>
        <w:t xml:space="preserve"> Nacional del Estado Civil, la Superintendencia de Notariado y Registro y las notarías suministrarán la información y las bases de datos que administren, con la oportunidad que las requieran el Ministerio de Salud y Protección Social para su procesamiento e integración con el Sistema de información del Sistema General de Seguridad Social en Salud”.</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219.</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Saneamiento fiscal y financiero en salud</w:t>
      </w:r>
      <w:r w:rsidRPr="00BC5DA9">
        <w:rPr>
          <w:rStyle w:val="a7"/>
          <w:rFonts w:ascii="Century Gothic" w:hAnsi="Century Gothic" w:cs="Segoe UI"/>
          <w:sz w:val="22"/>
          <w:szCs w:val="22"/>
        </w:rPr>
        <w:t>. Las fundaciones de que trata el artículo 68 de la Ley 1438 de 2011 que hayan sido caracterizadas en riesgo fiscal y financiero medio o alto por el Ministerio de Salud y Protección Social podrán acceder a recursos del programa de saneamiento fiscal y financiero de que trata la referida ley y demás disposiciones vigentes. Dichas instituciones podrán presentar a consideración del Ministerio de Hacienda y Crédito Público sus programas de saneamiento fiscal y financiero hasta el 31 de julio de 2015.</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Ministerio de Salud y de Protección Social, (MSPS) evaluará el riesgo fiscal y financiero que las Empresas Sociales del Estado, (ESE) que fueron remitidas a la Superintendencia Nacional de Salud en la vigencia 2013 y 2014. Las ESE que el MSPS categorice en riesgo medio y alto y que no hayan remitido la información a tiempo, por causas no imputables a las ESE, podrán volver a presentar, por una única vez y durante los 60 días después de expedida la resolución del MSPS que las declare en riesgo, los programas de saneamiento fiscal y financiero ante el Ministerio de Hacienda y Crédito Público. Lo anterior, según el artículo 8° de la Ley 1608 de 2013 y bajo las condiciones y términos que establezca el reglamento.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220.</w:t>
      </w:r>
      <w:r w:rsidRPr="00BC5DA9">
        <w:rPr>
          <w:rStyle w:val="a7"/>
          <w:rFonts w:ascii="Century Gothic" w:hAnsi="Century Gothic" w:cs="Segoe UI"/>
          <w:sz w:val="22"/>
          <w:szCs w:val="22"/>
        </w:rPr>
        <w:t xml:space="preserve"> P</w:t>
      </w:r>
      <w:r w:rsidRPr="00BC5DA9">
        <w:rPr>
          <w:rStyle w:val="a7"/>
          <w:rFonts w:ascii="Century Gothic" w:hAnsi="Century Gothic" w:cs="Segoe UI"/>
          <w:i/>
          <w:iCs/>
          <w:sz w:val="22"/>
          <w:szCs w:val="22"/>
        </w:rPr>
        <w:t xml:space="preserve">romoción y Fomento de las Empresas </w:t>
      </w:r>
      <w:proofErr w:type="spellStart"/>
      <w:r w:rsidRPr="00BC5DA9">
        <w:rPr>
          <w:rStyle w:val="a7"/>
          <w:rFonts w:ascii="Century Gothic" w:hAnsi="Century Gothic" w:cs="Segoe UI"/>
          <w:i/>
          <w:iCs/>
          <w:sz w:val="22"/>
          <w:szCs w:val="22"/>
        </w:rPr>
        <w:t>Mipyme</w:t>
      </w:r>
      <w:proofErr w:type="spellEnd"/>
      <w:r w:rsidRPr="00BC5DA9">
        <w:rPr>
          <w:rStyle w:val="a7"/>
          <w:rFonts w:ascii="Century Gothic" w:hAnsi="Century Gothic" w:cs="Segoe UI"/>
          <w:i/>
          <w:iCs/>
          <w:sz w:val="22"/>
          <w:szCs w:val="22"/>
        </w:rPr>
        <w:t xml:space="preserve"> Cooperativas y de la Economía Solidaria</w:t>
      </w:r>
      <w:r w:rsidRPr="00BC5DA9">
        <w:rPr>
          <w:rStyle w:val="a7"/>
          <w:rFonts w:ascii="Century Gothic" w:hAnsi="Century Gothic" w:cs="Segoe UI"/>
          <w:sz w:val="22"/>
          <w:szCs w:val="22"/>
        </w:rPr>
        <w:t>. Adiciónese el siguiente parágrafo al artículo 7° de la Ley 590 de 2000.</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Las empresas cooperativas y de la economía solidaria, que sean clasificadas como </w:t>
      </w:r>
      <w:proofErr w:type="spellStart"/>
      <w:r w:rsidRPr="00BC5DA9">
        <w:rPr>
          <w:rStyle w:val="a7"/>
          <w:rFonts w:ascii="Century Gothic" w:hAnsi="Century Gothic" w:cs="Segoe UI"/>
          <w:sz w:val="22"/>
          <w:szCs w:val="22"/>
        </w:rPr>
        <w:t>Mipymes</w:t>
      </w:r>
      <w:proofErr w:type="spellEnd"/>
      <w:r w:rsidRPr="00BC5DA9">
        <w:rPr>
          <w:rStyle w:val="a7"/>
          <w:rFonts w:ascii="Century Gothic" w:hAnsi="Century Gothic" w:cs="Segoe UI"/>
          <w:sz w:val="22"/>
          <w:szCs w:val="22"/>
        </w:rPr>
        <w:t xml:space="preserve"> de acuerdo con el artículo 2° de la presente ley, serán atendidas en igualdad de condiciones por parte de las entidades estatales”.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221.</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Cobro de multas impuestas por el Ministerio de Trabajo</w:t>
      </w:r>
      <w:r w:rsidRPr="00BC5DA9">
        <w:rPr>
          <w:rStyle w:val="a7"/>
          <w:rFonts w:ascii="Century Gothic" w:hAnsi="Century Gothic" w:cs="Segoe UI"/>
          <w:sz w:val="22"/>
          <w:szCs w:val="22"/>
        </w:rPr>
        <w:t xml:space="preserve">. El cobro de las multas impuestas por la Dirección de Inspección, Vigilancia y Control del Ministerio de Trabajo en favor del SENA, podrá ser </w:t>
      </w:r>
      <w:proofErr w:type="spellStart"/>
      <w:r w:rsidRPr="00BC5DA9">
        <w:rPr>
          <w:rStyle w:val="a7"/>
          <w:rFonts w:ascii="Century Gothic" w:hAnsi="Century Gothic" w:cs="Segoe UI"/>
          <w:sz w:val="22"/>
          <w:szCs w:val="22"/>
        </w:rPr>
        <w:t>tercerizado</w:t>
      </w:r>
      <w:proofErr w:type="spellEnd"/>
      <w:r w:rsidRPr="00BC5DA9">
        <w:rPr>
          <w:rStyle w:val="a7"/>
          <w:rFonts w:ascii="Century Gothic" w:hAnsi="Century Gothic" w:cs="Segoe UI"/>
          <w:sz w:val="22"/>
          <w:szCs w:val="22"/>
        </w:rPr>
        <w:t xml:space="preserve"> con una entidad </w:t>
      </w:r>
      <w:r w:rsidRPr="00BC5DA9">
        <w:rPr>
          <w:rStyle w:val="a7"/>
          <w:rFonts w:ascii="Century Gothic" w:hAnsi="Century Gothic" w:cs="Segoe UI"/>
          <w:sz w:val="22"/>
          <w:szCs w:val="22"/>
        </w:rPr>
        <w:lastRenderedPageBreak/>
        <w:t>pública del orden nacional, sin variar la destinación de los recursos establecidos en el artículo 30 de la Ley 119 de 1994.</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222</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Acreditación de alta calidad a licenciaturas</w:t>
      </w:r>
      <w:r w:rsidRPr="00BC5DA9">
        <w:rPr>
          <w:rStyle w:val="a7"/>
          <w:rFonts w:ascii="Century Gothic" w:hAnsi="Century Gothic" w:cs="Segoe UI"/>
          <w:sz w:val="22"/>
          <w:szCs w:val="22"/>
        </w:rPr>
        <w:t>. Los programas académicos de licenciaturas a nivel de pregrado que tengan como mínimo cuatro (4) cohortes de egresados y que no se encuentren acreditados en alta calidad, deberán obtener dicho reconocimiento en un plazo de dos (2) años contados a partir de la entrada en vigencia de la presente ley.</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Los programas de licenciaturas a nivel de pregrado que no cuenten con el requisito de cohortes antes mencionado deberán adelantar el trámite de acreditación en alta calidad en un plazo de dos (2) años, una vez cumplido el mismo.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La no obtención de dicha acreditación en los términos anteriormente descritos, traerá consigo la pérdida de vigencia del registro calificado otorgado para el funcionamiento del mismo.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El otorgamiento del registro calificado para licenciaturas y programas académicos enfocados a la educación, deberá cumplir unos parámetros mínimos de calidad establecidos por el Ministerio de Educación Nacional mediante estudios técnicos, sin perjuicio de la autonomía universitaria. Para ello, el Gobierno nacional deberá nivelar los criterios del registro calificado a los de </w:t>
      </w:r>
      <w:proofErr w:type="gramStart"/>
      <w:r w:rsidRPr="00BC5DA9">
        <w:rPr>
          <w:rStyle w:val="a7"/>
          <w:rFonts w:ascii="Century Gothic" w:hAnsi="Century Gothic" w:cs="Segoe UI"/>
          <w:sz w:val="22"/>
          <w:szCs w:val="22"/>
        </w:rPr>
        <w:t>alta calidad establecidos</w:t>
      </w:r>
      <w:proofErr w:type="gramEnd"/>
      <w:r w:rsidRPr="00BC5DA9">
        <w:rPr>
          <w:rStyle w:val="a7"/>
          <w:rFonts w:ascii="Century Gothic" w:hAnsi="Century Gothic" w:cs="Segoe UI"/>
          <w:sz w:val="22"/>
          <w:szCs w:val="22"/>
        </w:rPr>
        <w:t xml:space="preserve"> para estos programas, en un plazo de dos (2) años contados a partir de la entrada en vigencia de la presente ley.</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223.</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Recursos para la infraestructura en educación superior</w:t>
      </w:r>
      <w:r w:rsidRPr="00BC5DA9">
        <w:rPr>
          <w:rStyle w:val="a7"/>
          <w:rFonts w:ascii="Century Gothic" w:hAnsi="Century Gothic" w:cs="Segoe UI"/>
          <w:sz w:val="22"/>
          <w:szCs w:val="22"/>
        </w:rPr>
        <w:t>. Modifíquese el artículo 86 de la Ley 30 de 1992,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86. </w:t>
      </w:r>
      <w:r w:rsidRPr="00BC5DA9">
        <w:rPr>
          <w:rStyle w:val="a7"/>
          <w:rFonts w:ascii="Century Gothic" w:hAnsi="Century Gothic" w:cs="Segoe UI"/>
          <w:sz w:val="22"/>
          <w:szCs w:val="22"/>
        </w:rPr>
        <w:t>Los presupuestos de las universidades nacionales, departamentales y municipales estarán constituidos por aportes del presupuesto nacional para funcionamiento e inversión, por los aportes de los entes territoriales, por los recursos y rentas propias de cada institución.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Las universidades estatales u oficiales recibirán anualmente aportes de los presupuestos nacionales y de las entidades territoriales, que signifiquen siempre un incremento en pesos constantes, tomando como base los presupuestos de rentas y gastos, vigentes a partir de 1993.</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En todo caso la Nación y las entidades territoriales podrán realizar de manera excepcional frente a situaciones específicas que lo requieran, aportes adicionales que se destinen para el financiamiento de infraestructura de universidades públicas, los cuales no harán parte de la base presupuestal para el cálculo de los aportes señalados en el presente artículo”.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224</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Fomento de libros digitales</w:t>
      </w:r>
      <w:r w:rsidRPr="00BC5DA9">
        <w:rPr>
          <w:rStyle w:val="a7"/>
          <w:rFonts w:ascii="Century Gothic" w:hAnsi="Century Gothic" w:cs="Segoe UI"/>
          <w:sz w:val="22"/>
          <w:szCs w:val="22"/>
        </w:rPr>
        <w:t>. Adiciónese el literal k al artículo 1° de la Ley 98 de 1993,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lastRenderedPageBreak/>
        <w:t>“k) Fomentar y apoyar la digitalización y producción de libros, mediante el estímulo a su edición y comercialización, facilitando el acceso a esta herramienta tecnológica tanto en zonas urbanas como en rurales”.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225</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Promoción de artes escénicas</w:t>
      </w:r>
      <w:r w:rsidRPr="00BC5DA9">
        <w:rPr>
          <w:rStyle w:val="a7"/>
          <w:rFonts w:ascii="Century Gothic" w:hAnsi="Century Gothic" w:cs="Segoe UI"/>
          <w:sz w:val="22"/>
          <w:szCs w:val="22"/>
        </w:rPr>
        <w:t>. Los contribuyentes que paguen o suscriban acuerdos de pago en relación con los impuestos derogados por la Ley 1493 de 2011 no podrán ser objeto del cobro o ejecución de intereses o sanciones.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Los acuerdos de pago podrán contemplar la posibilidad de cumplir con la obligación mediante la asignación de entradas gratuitas a la población objetivo que determine la entidad territorial interesada. Igualmente, los montos que no se pacten a través de la compensación antes descrita podrán ser descontados de la contribución parafiscal cultural a la boletería de los espectáculos públicos de las artes escénicas que a partir de la expedición de la presente ley se genere a cargo del contribuyente que suscriba el acuerdo de pago respectivo. En ambos casos, el plazo máximo de los acuerdos de pago será de veinte (20) años.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226.</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Funciones del Fondo Nacional del Ahorro (FNA)</w:t>
      </w:r>
      <w:r w:rsidRPr="00BC5DA9">
        <w:rPr>
          <w:rStyle w:val="a7"/>
          <w:rFonts w:ascii="Century Gothic" w:hAnsi="Century Gothic" w:cs="Segoe UI"/>
          <w:sz w:val="22"/>
          <w:szCs w:val="22"/>
        </w:rPr>
        <w:t>. Adiciónese los literales k) y l) al artículo 3° de la Ley 432 de 1998, los cuales quedarán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“k) Brindar asesoría y asistencia técnica en lo referente al diseño, ejecución, administración, evaluación y gestión de proyectos o programas de </w:t>
      </w:r>
      <w:proofErr w:type="spellStart"/>
      <w:r w:rsidRPr="00BC5DA9">
        <w:rPr>
          <w:rStyle w:val="a7"/>
          <w:rFonts w:ascii="Century Gothic" w:hAnsi="Century Gothic" w:cs="Segoe UI"/>
          <w:sz w:val="22"/>
          <w:szCs w:val="22"/>
        </w:rPr>
        <w:t>preinversión</w:t>
      </w:r>
      <w:proofErr w:type="spellEnd"/>
      <w:r w:rsidRPr="00BC5DA9">
        <w:rPr>
          <w:rStyle w:val="a7"/>
          <w:rFonts w:ascii="Century Gothic" w:hAnsi="Century Gothic" w:cs="Segoe UI"/>
          <w:sz w:val="22"/>
          <w:szCs w:val="22"/>
        </w:rPr>
        <w:t xml:space="preserve"> e inversión, relacionados con el sector de vivienda, el hábitat y equipamiento urbano, dirigidos a los afiliados del FNA.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l) Celebrar contratos de fiducia para administrar recursos que le transfiera otras entidades públicas para financiar la ejecución de programas especiales relacionados con el sector vivienda, el hábitat y equipamiento urbano”.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b/>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227.</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Fortalecimiento del ejercicio de las funciones de la Superintendencia de Servicios Públicos Domiciliarios</w:t>
      </w:r>
      <w:r w:rsidRPr="00BC5DA9">
        <w:rPr>
          <w:rStyle w:val="a7"/>
          <w:rFonts w:ascii="Century Gothic" w:hAnsi="Century Gothic" w:cs="Segoe UI"/>
          <w:sz w:val="22"/>
          <w:szCs w:val="22"/>
        </w:rPr>
        <w:t>. Modifíquese el artículo 247 de la Ley 1450 del 2011,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247. </w:t>
      </w:r>
      <w:r w:rsidRPr="00BC5DA9">
        <w:rPr>
          <w:rStyle w:val="a7"/>
          <w:rFonts w:ascii="Century Gothic" w:hAnsi="Century Gothic" w:cs="Segoe UI"/>
          <w:b/>
          <w:bCs/>
          <w:i/>
          <w:iCs/>
          <w:sz w:val="22"/>
          <w:szCs w:val="22"/>
        </w:rPr>
        <w:t xml:space="preserve">Fortalecimiento del ejercicio de las funciones de la Superintendencia de Servicios Públicos Domiciliarios. </w:t>
      </w:r>
      <w:r w:rsidRPr="00BC5DA9">
        <w:rPr>
          <w:rStyle w:val="a7"/>
          <w:rFonts w:ascii="Century Gothic" w:hAnsi="Century Gothic" w:cs="Segoe UI"/>
          <w:sz w:val="22"/>
          <w:szCs w:val="22"/>
        </w:rPr>
        <w:t>En la Superintendencia de Servicios Públicos Domiciliarios seguirá funcionando el Fondo Empresarial creado por la Ley 812 del 2003, a través de un patrimonio autónomo cuyo ordenador del gasto será el superintendente de servicios públicos domiciliarios.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Este Fondo podrá financiar a las empresas en toma de posesión para: i) Pagos para la satisfacción de los derechos de los trabajadores que se acojan a los planes de retiro voluntario y en general para el pago de las obligaciones laborales y, ii) apoyo para salvaguardar la prestación del servicio a cargo de la empresa en toma de posesión.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Igualmente podrá contratar y/o apoyar el pago de las actividades profesionales requeridas en áreas financieras, técnicas, legales y logísticas a la </w:t>
      </w:r>
      <w:r w:rsidRPr="00BC5DA9">
        <w:rPr>
          <w:rStyle w:val="a7"/>
          <w:rFonts w:ascii="Century Gothic" w:hAnsi="Century Gothic" w:cs="Segoe UI"/>
          <w:sz w:val="22"/>
          <w:szCs w:val="22"/>
        </w:rPr>
        <w:lastRenderedPageBreak/>
        <w:t>Superintendencia de Servicios Públicos Domiciliarios y a la empresa objeto de toma de posesión, así como los estudios necesarios para determinar la procedencia de la medida de toma de posesión y las medidas preventivas de acuerdo con lo establecido en la Ley 142 de 1994.</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Así mismo, de forma excepcional y por una sola vez, el Fondo podrá apoyar con recursos a la empresa en toma de posesión para asegurar la viabilidad del esquema de solución a largo plazo en los servicios de agua potable y saneamiento básico, acorde con la reglamentación que para tal efecto expida el Gobierno nacional. Lo dispuesto en el presente inciso también será aplicable a las empresas que a la entrada en vigencia de la presente ley se encuentren en toma de posesión.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A este Fondo ingresarán los recursos de los excedentes de la Superintendencia de Servicios Públicos Domiciliarios, de la Comisión de Regulación de Agua Potable y Saneamiento Básico (CRA), de la Comisión de Regulación de Energía y Gas (CREG), y el producto de las multas que imponga esta superintendencia”.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228.</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Ajuste de la tasa retributiva</w:t>
      </w:r>
      <w:r w:rsidRPr="00BC5DA9">
        <w:rPr>
          <w:rStyle w:val="a7"/>
          <w:rFonts w:ascii="Century Gothic" w:hAnsi="Century Gothic" w:cs="Segoe UI"/>
          <w:sz w:val="22"/>
          <w:szCs w:val="22"/>
        </w:rPr>
        <w:t>. Los Planes de Saneamiento y Manejo de Vertimientos (PSMV) y el cálculo de factor regional de tasas retributivas se ajustarán a 1 de manera inmediata cuando quiera que existan retrasos en las obras por razones no imputables al prestador del servicio público de alcantarillado. El Gobierno nacional a través de los Ministerios de Ambiente y Desarrollo Sostenible y de Vivienda, Ciudad y Territorio reglamentará las condiciones bajos las cuales las Corporaciones Autónomas Regionales y demás autoridades ambientales verificarán los motivos que dieron lugar al incumplimiento de los PSMV.</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229.</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Enfoque diferencial para vivienda de interés prioritario</w:t>
      </w:r>
      <w:r w:rsidRPr="00BC5DA9">
        <w:rPr>
          <w:rStyle w:val="a7"/>
          <w:rFonts w:ascii="Century Gothic" w:hAnsi="Century Gothic" w:cs="Segoe UI"/>
          <w:sz w:val="22"/>
          <w:szCs w:val="22"/>
        </w:rPr>
        <w:t>. Adiciónese el siguiente parágrafo al artículo 6° de la Ley 1537 de 2012:</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“Parágrafo 5°. En la convocatoria para el desarrollo de proyectos de vivienda de interés prioritario en zonas o departamentos de difícil acceso, se exigirá como mínimo dos años y medio (2,5) como experiencia específica en ejecución de proyectos de vivienda”.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230.</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Organizaciones Populares de Vivienda</w:t>
      </w:r>
      <w:r w:rsidRPr="00BC5DA9">
        <w:rPr>
          <w:rStyle w:val="a7"/>
          <w:rFonts w:ascii="Century Gothic" w:hAnsi="Century Gothic" w:cs="Segoe UI"/>
          <w:sz w:val="22"/>
          <w:szCs w:val="22"/>
        </w:rPr>
        <w:t>. Modifíquese el parágrafo 2° del artículo 8° de la Ley 1537 de 2012,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Los patrimonios autónomos constituidos de conformidad con la presente ley, podrán adquirir directamente las viviendas ejecutadas en proyectos promovidos, gestionados o construidos por las entidades territoriales, en predios propios o de Organizaciones Populares de Vivienda (OPV) de que trata el artículo 62 de la Ley 9ª de 1989, con el fin de ser asignadas a hogares miembros de dichas organizaciones, en las condiciones de focalización en población pobre, según defina el reglamento. Adicionalmente, se requerirá que las entidades territoriales que promuevan, gestionen o construyan los </w:t>
      </w:r>
      <w:r w:rsidRPr="00BC5DA9">
        <w:rPr>
          <w:rStyle w:val="a7"/>
          <w:rFonts w:ascii="Century Gothic" w:hAnsi="Century Gothic" w:cs="Segoe UI"/>
          <w:sz w:val="22"/>
          <w:szCs w:val="22"/>
        </w:rPr>
        <w:lastRenderedPageBreak/>
        <w:t>proyectos, aporten un porcentaje del valor de las viviendas, el cual podrá ser aportado a título de subsidio en los términos y condiciones que defina el Gobierno nacional.</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El Departamento Administrativo para la Prosperidad Social identificará si los hogares miembros de las OPV son potenciales beneficiarios del Subsidio Familiar de Vivienda en Especie y procederá a su selección, previo proceso de postulación ante el Fondo Nacional de Vivienda (</w:t>
      </w:r>
      <w:proofErr w:type="spellStart"/>
      <w:r w:rsidRPr="00BC5DA9">
        <w:rPr>
          <w:rStyle w:val="a7"/>
          <w:rFonts w:ascii="Century Gothic" w:hAnsi="Century Gothic" w:cs="Segoe UI"/>
          <w:sz w:val="22"/>
          <w:szCs w:val="22"/>
        </w:rPr>
        <w:t>Fonvivienda</w:t>
      </w:r>
      <w:proofErr w:type="spellEnd"/>
      <w:r w:rsidRPr="00BC5DA9">
        <w:rPr>
          <w:rStyle w:val="a7"/>
          <w:rFonts w:ascii="Century Gothic" w:hAnsi="Century Gothic" w:cs="Segoe UI"/>
          <w:sz w:val="22"/>
          <w:szCs w:val="22"/>
        </w:rPr>
        <w:t>), el cual verificará que los hogares cumplan las condiciones para acceder al subsidio. Lo anterior, de acuerdo con el reglamento que expida el Gobierno Nacional”.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231.</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Aclaración de competencias</w:t>
      </w:r>
      <w:r w:rsidRPr="00BC5DA9">
        <w:rPr>
          <w:rStyle w:val="a7"/>
          <w:rFonts w:ascii="Century Gothic" w:hAnsi="Century Gothic" w:cs="Segoe UI"/>
          <w:sz w:val="22"/>
          <w:szCs w:val="22"/>
        </w:rPr>
        <w:t>. En aquellos casos en que los planes de ordenamiento territorial (POT) contengan disposiciones sobre materias cuya reglamentación sea competencia de la Nación, e impidan la ejecución de los planes y programas de interés nacional establecidos en la presente ley, la entidad nacional cabeza del sector correspondiente podrá promover conflicto de competencia administrativa, de conformidad con el Código de Procedimiento Administrativo y de lo Contencioso Administrativo, a fin de que se decida quién es competente para reglamentar el respectivo asunto. En el evento de que el Consejo de Estado conceptúe que las competencias de la Nación fueron invadidas, las autoridades territoriales deberán aplicar las normas de carácter nacional vigentes sobre la materia.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232</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Política de mujer rural</w:t>
      </w:r>
      <w:r w:rsidRPr="00BC5DA9">
        <w:rPr>
          <w:rStyle w:val="a7"/>
          <w:rFonts w:ascii="Century Gothic" w:hAnsi="Century Gothic" w:cs="Segoe UI"/>
          <w:sz w:val="22"/>
          <w:szCs w:val="22"/>
        </w:rPr>
        <w:t>. Para la protección y garantía de los derechos de las mujeres rurales, el Gobierno nacional formulará una política pública integral de mujer rural de forma participativa, coordinada por el Ministerio de Agricultura y Desarrollo Rural y la Consejería Presidencial para la Equidad de la Mujer, que tendrá en cuenta el enfoque étnico, etario y territorial. Esta política pública estará orientada a superar las brechas urbano–rurales. En todo caso y con el fin de avanzar en la garantía de los derechos de las mujeres rurales, el Gobierno nacional implementará las medidas necesarias para dar pleno cumplimiento a lo preceptuado en la Ley 731 de 2002.</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233.</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Sistemas de trazabilidad</w:t>
      </w:r>
      <w:r w:rsidRPr="00BC5DA9">
        <w:rPr>
          <w:rStyle w:val="a7"/>
          <w:rFonts w:ascii="Century Gothic" w:hAnsi="Century Gothic" w:cs="Segoe UI"/>
          <w:sz w:val="22"/>
          <w:szCs w:val="22"/>
        </w:rPr>
        <w:t>. Con el fin de mejorar la sanidad agropecuaria e inocuidad de los alimentos, prevenir prácticas ilegales en el comercio de los mismos, mejorar la información disponible para el consumidor y responder a los requerimientos del comercio internacional, el Gobierno nacional, en coordinación con el Instituto Colombiano Agropecuario (ICA), reglamentará de acuerdo a su competencia, la implementación de sistemas de trazabilidad tanto en el sector primario como en la distribución de alimentos, y realizará el control de dichos sistemas. Su implementación la podrán realizar entidades de reconocida idoneidad en identificación o desarrollo de plataformas tecnológicas de trazabilidad de productos.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Las autoridades competentes tendrán acceso a la información de los sistemas de trazabilidad implementados para cumplir con sus funciones de inspección, vigilancia y control.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lastRenderedPageBreak/>
        <w:t>Artículo 234.</w:t>
      </w:r>
      <w:r w:rsidRPr="00BC5DA9">
        <w:rPr>
          <w:rStyle w:val="a7"/>
          <w:rFonts w:ascii="Century Gothic" w:hAnsi="Century Gothic" w:cs="Segoe UI"/>
          <w:sz w:val="22"/>
          <w:szCs w:val="22"/>
        </w:rPr>
        <w:t xml:space="preserve"> F</w:t>
      </w:r>
      <w:r w:rsidRPr="00BC5DA9">
        <w:rPr>
          <w:rStyle w:val="a7"/>
          <w:rFonts w:ascii="Century Gothic" w:hAnsi="Century Gothic" w:cs="Segoe UI"/>
          <w:i/>
          <w:iCs/>
          <w:sz w:val="22"/>
          <w:szCs w:val="22"/>
        </w:rPr>
        <w:t>inanciación del Sistema de Responsabilidad Penal para Adolescentes</w:t>
      </w:r>
      <w:r w:rsidRPr="00BC5DA9">
        <w:rPr>
          <w:rStyle w:val="a7"/>
          <w:rFonts w:ascii="Century Gothic" w:hAnsi="Century Gothic" w:cs="Segoe UI"/>
          <w:sz w:val="22"/>
          <w:szCs w:val="22"/>
        </w:rPr>
        <w:t>. El Gobierno nacional fortalecerá la atención integral a los adolescentes vinculados al Sistema de Responsabilidad Penal para Adolescentes (SRPA) y la política de prevención de la delincuencia juvenil, desde un enfoque de justicia restaurativa, con procesos pedagógicos, específicos y diferenciados de los adultos, para la garantía plena y permanente de los derechos de los adolescentes y jóvenes en conflicto con la ley.</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Se define la Ley 55 de 1985 como fuente nacional permanente de la financiación del Sistema de Responsabilidad Penal para Adolescentes, para asegurar la prestación del servicio en todos los distritos judiciales del territorio nacional con plena garantía de derechos de los adolescentes y jóvenes en conflicto con la ley en todas la etapas de la ruta jurídica y durante el cumplimiento de su sanción.</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b/>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235</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Financiación de programas de justicia. </w:t>
      </w:r>
      <w:r w:rsidRPr="00BC5DA9">
        <w:rPr>
          <w:rStyle w:val="a7"/>
          <w:rFonts w:ascii="Century Gothic" w:hAnsi="Century Gothic" w:cs="Segoe UI"/>
          <w:sz w:val="22"/>
          <w:szCs w:val="22"/>
        </w:rPr>
        <w:t>Adiciónese el artículo 13A a la Ley 55 de 1985,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13A. </w:t>
      </w:r>
      <w:r w:rsidRPr="00BC5DA9">
        <w:rPr>
          <w:rStyle w:val="a7"/>
          <w:rFonts w:ascii="Century Gothic" w:hAnsi="Century Gothic" w:cs="Segoe UI"/>
          <w:sz w:val="22"/>
          <w:szCs w:val="22"/>
        </w:rPr>
        <w:t>La porción que se reasigna sobre los ingresos provenientes de los derechos por registro de instrumentos públicos y otorgamiento de escrituras destinados a la Superintendencia de Notariado y Registro, se incrementará, además de lo previsto en el artículo anterior, en un 12% a partir de 2016; para un total del 72%.</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El 12% adicional se distribuirá así: el 10% a la financiación del Sistema de Responsabilidad Penal para Adolescentes, los cuales serán ejecutados por el Instituto Colombiano de Bienestar Familiar; y el 2% restante para programas de fortalecimiento de acceso a la justicia formal y alternativa, acciones para la prevención y control del delito e implementación de modelos de justicia territorial y rural, los cuales serán ejecutados por el Ministerio de Justicia y del Derecho”.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236.</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Transparencia, rendición de cuentas y Plan Anticorrupción para la Administración de Justicia</w:t>
      </w:r>
      <w:r w:rsidRPr="00BC5DA9">
        <w:rPr>
          <w:rStyle w:val="a7"/>
          <w:rFonts w:ascii="Century Gothic" w:hAnsi="Century Gothic" w:cs="Segoe UI"/>
          <w:sz w:val="22"/>
          <w:szCs w:val="22"/>
        </w:rPr>
        <w:t>. El ejercicio de las funciones administrativas por parte de los órganos que integran las distintas jurisdicciones de la Rama Judicial se sujetará a los principios de transparencia y rendición de cuentas. En desarrollo de estos principios: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1. La Rama Judicial deberá rendir cuentas de manera permanente a la ciudadanía bajo los lineamientos de metodología y contenidos mínimos establecidos por la Comisión Interinstitucional de la Rama Judicial.</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2. El Consejo Superior de la Judicatura, o quien haga sus veces, publicará semestralmente en la página web de la Rama Judicial un informe preciso y detallado sobre la gestión financiera de los recursos recibidos por la Rama Judicial.</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lastRenderedPageBreak/>
        <w:t>3. El Consejo Superior de la Judicatura, o quien haga sus veces, publicará anualmente en la página web de la Rama Judicial un informe sobre el grado de avance de los indicadores determinados por el Sistema Nacional de Estadísticas Judiciales.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4. El Consejo Superior de la Judicatura, o quien haga sus veces, publicará en la página web de la Rama Judicial, un directorio de todos los despachos judiciales que integran los órganos de las distintas jurisdicciones de la Rama Judicial y sus indicadores de congestión, retraso, productividad y eficacia.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5. El Consejo Superior de la Judicatura, o quien haga sus veces, presentará anualmente un informe a las Comisiones Terceras del Congreso de la República que contenga, como mínimo, el grado de avance de la Rama en los resultados del Plan Sectorial de la Rama Judicial y el avance de los compromisos a su cargo contenidos en el Plan Decenal del Sistema de Justicia.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6. La Comisión Interinstitucional de la Rama Judicial, con la participación del Ministerio de Justicia y del Derecho y el apoyo de la Secretaría de Transparencia de la Presidencia de la República, elaborará un Plan Anticorrupción para la Administración de Justicia.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plan deberá ser publicado en la página web de la Rama Judicial, a más tardar el 31 de enero de 2016 y será evaluado y revisado cada dos (2) años. Así mismo, deberán publicarse por este medio los informes de seguimiento al plan elaborados por la Comisión Interinstitucional de la Rama Judicial.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237.</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Programa de seguridad con video-vigilancia</w:t>
      </w:r>
      <w:r w:rsidRPr="00BC5DA9">
        <w:rPr>
          <w:rStyle w:val="a7"/>
          <w:rFonts w:ascii="Century Gothic" w:hAnsi="Century Gothic" w:cs="Segoe UI"/>
          <w:sz w:val="22"/>
          <w:szCs w:val="22"/>
        </w:rPr>
        <w:t>. El Ministerio del Interior diseñará un programa que promoverá la instalación de videocámaras por parte de los establecimientos privados, con el fin de fortalecer el ejercicio de seguridad a nivel urbano.</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Ministerio del Interior en coordinación con la Policía Nacional, los entes territoriales, los establecimientos públicos y privados desarrollarán sistemas integrados de vigilancia para poner a disposición de las entidades del Estado la información adquirida con el fin de combatir y prevenir el delito. El Gobierno Nacional reglamentará la materia.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238.</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Atención de procesos judiciales y reclamaciones administrativas del extinto DAS y constitución de fiducia mercantil</w:t>
      </w:r>
      <w:r w:rsidRPr="00BC5DA9">
        <w:rPr>
          <w:rStyle w:val="a7"/>
          <w:rFonts w:ascii="Century Gothic" w:hAnsi="Century Gothic" w:cs="Segoe UI"/>
          <w:sz w:val="22"/>
          <w:szCs w:val="22"/>
        </w:rPr>
        <w:t>. Para efecto de dar cumplimiento a lo previsto en los artículos 18 del Decreto ley 4057 de 2011 y 7° y 9° del Decreto número 1303 de 2014, autorícese la creación de un patrimonio autónomo administrado por Fiduciaria La Previsora S.A. con quien el Ministerio de Hacienda y Crédito Público suscribirá el contrato de fiducia mercantil respectivo.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xml:space="preserve">Para todos los efectos legales la representación de dicho patrimonio autónomo la llevará la sociedad fiduciaria, quien se encargará de la atención de los procesos judiciales, reclamaciones administrativas, laborales o contractuales en los cuales sea parte o destinatario el extinto Departamento Administrativo de Seguridad </w:t>
      </w:r>
      <w:r w:rsidRPr="00BC5DA9">
        <w:rPr>
          <w:rStyle w:val="a7"/>
          <w:rFonts w:ascii="Century Gothic" w:hAnsi="Century Gothic" w:cs="Segoe UI"/>
          <w:sz w:val="22"/>
          <w:szCs w:val="22"/>
        </w:rPr>
        <w:lastRenderedPageBreak/>
        <w:t>(DAS) o su Fondo Rotatorio, y que no guarden relación con funciones trasladadas a entidades receptoras de acuerdo con la naturaleza, objeto o sujeto procesal, o que por cualquier razón carezcan de autoridad administrativa responsable para su atención.</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Los recursos serán invertidos observando los criterios de seguridad, solidez y rentabilidad de acuerdo con lo que para el efecto se establezca en el contrato de fiducia mercantil.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239.</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Portal Central de Transparencia Fiscal (PCTF)</w:t>
      </w:r>
      <w:r w:rsidRPr="00BC5DA9">
        <w:rPr>
          <w:rStyle w:val="a7"/>
          <w:rFonts w:ascii="Century Gothic" w:hAnsi="Century Gothic" w:cs="Segoe UI"/>
          <w:sz w:val="22"/>
          <w:szCs w:val="22"/>
        </w:rPr>
        <w:t>. Constrúyase como Portal Central de Transparencia Fiscal (PCTF) el Portal de Transparencia Económica que administre el Ministerio de Hacienda y Crédito Público, con el objeto de promover la interacción del ciudadano| con la información sobre gestión fiscal y hacerlo más visible al manejo de los recursos públicos durante todo su ciclo.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Estarán obligadas al suministro de información al PCTF todas las entidades públicas del nivel central, pertenecientes a las diferentes ramas del poder público, así como las personas de derecho privado que administren recursos públicos.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El Gobierno Nacional reglamentará el funcionamiento y desarrollo del PCTF y definirá los términos y tiempos en que las entidades territoriales reportarán la información al sistema garantizando que esta se encuentre disponible en línea y permita la participación de la ciudadanía.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La obligación de suministro de la información cobrará vigencia seis (6) meses después de la reglamentación para las entidades del Gobierno Nacional, y doce (12) meses después para las entidades territoriales.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240.</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 xml:space="preserve">Rutas sociales </w:t>
      </w:r>
      <w:proofErr w:type="spellStart"/>
      <w:r w:rsidRPr="00BC5DA9">
        <w:rPr>
          <w:rStyle w:val="a7"/>
          <w:rFonts w:ascii="Century Gothic" w:hAnsi="Century Gothic" w:cs="Segoe UI"/>
          <w:i/>
          <w:iCs/>
          <w:sz w:val="22"/>
          <w:szCs w:val="22"/>
        </w:rPr>
        <w:t>Satena</w:t>
      </w:r>
      <w:proofErr w:type="spellEnd"/>
      <w:r w:rsidRPr="00BC5DA9">
        <w:rPr>
          <w:rStyle w:val="a7"/>
          <w:rFonts w:ascii="Century Gothic" w:hAnsi="Century Gothic" w:cs="Segoe UI"/>
          <w:sz w:val="22"/>
          <w:szCs w:val="22"/>
        </w:rPr>
        <w:t xml:space="preserve">. Con el fin promover la prestación del servicio de transporte aéreo en las regiones de difícil acceso y conectividad, el Gobierno Nacional podrá otorgar subvenciones a </w:t>
      </w:r>
      <w:proofErr w:type="spellStart"/>
      <w:r w:rsidRPr="00BC5DA9">
        <w:rPr>
          <w:rStyle w:val="a7"/>
          <w:rFonts w:ascii="Century Gothic" w:hAnsi="Century Gothic" w:cs="Segoe UI"/>
          <w:sz w:val="22"/>
          <w:szCs w:val="22"/>
        </w:rPr>
        <w:t>Satena</w:t>
      </w:r>
      <w:proofErr w:type="spellEnd"/>
      <w:r w:rsidRPr="00BC5DA9">
        <w:rPr>
          <w:rStyle w:val="a7"/>
          <w:rFonts w:ascii="Century Gothic" w:hAnsi="Century Gothic" w:cs="Segoe UI"/>
          <w:sz w:val="22"/>
          <w:szCs w:val="22"/>
        </w:rPr>
        <w:t xml:space="preserve"> S.A., a través del presupuesto del Ministerio de Defensa Nacional para la prestación del servicio público esencial de transporte aéreo en aquellas rutas sociales en las cuales </w:t>
      </w:r>
      <w:proofErr w:type="spellStart"/>
      <w:r w:rsidRPr="00BC5DA9">
        <w:rPr>
          <w:rStyle w:val="a7"/>
          <w:rFonts w:ascii="Century Gothic" w:hAnsi="Century Gothic" w:cs="Segoe UI"/>
          <w:sz w:val="22"/>
          <w:szCs w:val="22"/>
        </w:rPr>
        <w:t>Satena</w:t>
      </w:r>
      <w:proofErr w:type="spellEnd"/>
      <w:r w:rsidRPr="00BC5DA9">
        <w:rPr>
          <w:rStyle w:val="a7"/>
          <w:rFonts w:ascii="Century Gothic" w:hAnsi="Century Gothic" w:cs="Segoe UI"/>
          <w:sz w:val="22"/>
          <w:szCs w:val="22"/>
        </w:rPr>
        <w:t xml:space="preserve"> S.A. sea el único operador. El Gobierno Nacional, previo a la realización de un estudio, reglamentará las rutas y condiciones de estas subvenciones, que en ningún caso podrán ser superiores al déficit que registre la empresa como resultado de atender las denominadas rutas sociales en las cuales opere de manera exclusiva.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241</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Modificaciones y aval fiscal para asociaciones público-privadas</w:t>
      </w:r>
      <w:r w:rsidRPr="00BC5DA9">
        <w:rPr>
          <w:rStyle w:val="a7"/>
          <w:rFonts w:ascii="Century Gothic" w:hAnsi="Century Gothic" w:cs="Segoe UI"/>
          <w:sz w:val="22"/>
          <w:szCs w:val="22"/>
        </w:rPr>
        <w:t>.</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El inciso 4° del artículo 26 de la Ley 1508 de 2012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“El aval fiscal que emita el </w:t>
      </w:r>
      <w:proofErr w:type="spellStart"/>
      <w:r w:rsidRPr="00BC5DA9">
        <w:rPr>
          <w:rStyle w:val="a7"/>
          <w:rFonts w:ascii="Century Gothic" w:hAnsi="Century Gothic" w:cs="Segoe UI"/>
          <w:sz w:val="22"/>
          <w:szCs w:val="22"/>
        </w:rPr>
        <w:t>Confis</w:t>
      </w:r>
      <w:proofErr w:type="spellEnd"/>
      <w:r w:rsidRPr="00BC5DA9">
        <w:rPr>
          <w:rStyle w:val="a7"/>
          <w:rFonts w:ascii="Century Gothic" w:hAnsi="Century Gothic" w:cs="Segoe UI"/>
          <w:sz w:val="22"/>
          <w:szCs w:val="22"/>
        </w:rPr>
        <w:t xml:space="preserve"> para la ejecución de un proyecto de asociación público-privada (APP) en el que el contrato no esté debidamente perfeccionado, no podrá ser objeto de reconsideración del </w:t>
      </w:r>
      <w:proofErr w:type="spellStart"/>
      <w:r w:rsidRPr="00BC5DA9">
        <w:rPr>
          <w:rStyle w:val="a7"/>
          <w:rFonts w:ascii="Century Gothic" w:hAnsi="Century Gothic" w:cs="Segoe UI"/>
          <w:sz w:val="22"/>
          <w:szCs w:val="22"/>
        </w:rPr>
        <w:t>Confis</w:t>
      </w:r>
      <w:proofErr w:type="spellEnd"/>
      <w:r w:rsidRPr="00BC5DA9">
        <w:rPr>
          <w:rStyle w:val="a7"/>
          <w:rFonts w:ascii="Century Gothic" w:hAnsi="Century Gothic" w:cs="Segoe UI"/>
          <w:sz w:val="22"/>
          <w:szCs w:val="22"/>
        </w:rPr>
        <w:t xml:space="preserve"> cuando se exceda el 10% del valor inicialmente aprobado. No obstante, en casos excepcionales a solicitud del ministro del ramo, previa motivación y justificación </w:t>
      </w:r>
      <w:r w:rsidRPr="00BC5DA9">
        <w:rPr>
          <w:rStyle w:val="a7"/>
          <w:rFonts w:ascii="Century Gothic" w:hAnsi="Century Gothic" w:cs="Segoe UI"/>
          <w:sz w:val="22"/>
          <w:szCs w:val="22"/>
        </w:rPr>
        <w:lastRenderedPageBreak/>
        <w:t xml:space="preserve">suscrita por el jefe de la entidad solicitante, el </w:t>
      </w:r>
      <w:proofErr w:type="spellStart"/>
      <w:r w:rsidRPr="00BC5DA9">
        <w:rPr>
          <w:rStyle w:val="a7"/>
          <w:rFonts w:ascii="Century Gothic" w:hAnsi="Century Gothic" w:cs="Segoe UI"/>
          <w:sz w:val="22"/>
          <w:szCs w:val="22"/>
        </w:rPr>
        <w:t>Confis</w:t>
      </w:r>
      <w:proofErr w:type="spellEnd"/>
      <w:r w:rsidRPr="00BC5DA9">
        <w:rPr>
          <w:rStyle w:val="a7"/>
          <w:rFonts w:ascii="Century Gothic" w:hAnsi="Century Gothic" w:cs="Segoe UI"/>
          <w:sz w:val="22"/>
          <w:szCs w:val="22"/>
        </w:rPr>
        <w:t xml:space="preserve"> podrá evaluar una nueva propuesta del proyecto en los términos establecidos en la presente ley”.</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242.</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Operaciones de redescuento</w:t>
      </w:r>
      <w:r w:rsidRPr="00BC5DA9">
        <w:rPr>
          <w:rStyle w:val="a7"/>
          <w:rFonts w:ascii="Century Gothic" w:hAnsi="Century Gothic" w:cs="Segoe UI"/>
          <w:sz w:val="22"/>
          <w:szCs w:val="22"/>
        </w:rPr>
        <w:t>. Modifíquese el literal g) del artículo 270 del EOSF,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“g. </w:t>
      </w:r>
      <w:proofErr w:type="spellStart"/>
      <w:r w:rsidRPr="00BC5DA9">
        <w:rPr>
          <w:rStyle w:val="a7"/>
          <w:rFonts w:ascii="Century Gothic" w:hAnsi="Century Gothic" w:cs="Segoe UI"/>
          <w:sz w:val="22"/>
          <w:szCs w:val="22"/>
        </w:rPr>
        <w:t>Redescontar</w:t>
      </w:r>
      <w:proofErr w:type="spellEnd"/>
      <w:r w:rsidRPr="00BC5DA9">
        <w:rPr>
          <w:rStyle w:val="a7"/>
          <w:rFonts w:ascii="Century Gothic" w:hAnsi="Century Gothic" w:cs="Segoe UI"/>
          <w:sz w:val="22"/>
          <w:szCs w:val="22"/>
        </w:rPr>
        <w:t xml:space="preserve"> créditos a entidades públicas del orden nacional, a entidades de derecho privado, patrimonios autónomos y personas jurídicas de derecho internacional público, siempre y cuando dichos recursos se utilicen en las actividades definidas en el numeral 2 del artículo 268 del Estatuto Orgánico del Sistema Financiero y en proyectos relacionados con el medio ambiente”.</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243.</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Reconocimiento de deuda en sentencias y conciliaciones judiciales</w:t>
      </w:r>
      <w:r w:rsidRPr="00BC5DA9">
        <w:rPr>
          <w:rStyle w:val="a7"/>
          <w:rFonts w:ascii="Century Gothic" w:hAnsi="Century Gothic" w:cs="Segoe UI"/>
          <w:sz w:val="22"/>
          <w:szCs w:val="22"/>
        </w:rPr>
        <w:t>. Para efectos de lo establecido en el artículo 29 de la Ley 344 de 1996, en el marco de las leyes que lo implementen, entiéndase que la referencia a las sentencias y conciliaciones judiciales es aplicable a otros mecanismos de solución alternativa de conflictos, tales como la amigable composición, que tengan efectos de cosa juzgada en última instancia en los términos del Código Civil y en los que participe el Ministerio Público.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244.</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Libertad religiosa, de cultos y conciencia</w:t>
      </w:r>
      <w:r w:rsidRPr="00BC5DA9">
        <w:rPr>
          <w:rStyle w:val="a7"/>
          <w:rFonts w:ascii="Century Gothic" w:hAnsi="Century Gothic" w:cs="Segoe UI"/>
          <w:sz w:val="22"/>
          <w:szCs w:val="22"/>
        </w:rPr>
        <w:t>. El Ministerio del Interior, en coordinación con las entidades competentes, emprenderá acciones que promuevan el reconocimiento de las formas asociativas de la sociedad civil basadas en los principios de libertad religiosa, de cultos y conciencia. El Gobierno Nacional formulará y actualizará la política pública en la materia con la participación de las entidades religiosas, garantizando la libertad e igualdad religiosa en términos de equidad y reconociendo su aporte al bien común en lo local, regional y nacional.</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245.</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Agencia Nacional Inmobiliaria Virgilio Barco Vargas</w:t>
      </w:r>
      <w:r w:rsidRPr="00BC5DA9">
        <w:rPr>
          <w:rStyle w:val="a7"/>
          <w:rFonts w:ascii="Century Gothic" w:hAnsi="Century Gothic" w:cs="Segoe UI"/>
          <w:sz w:val="22"/>
          <w:szCs w:val="22"/>
        </w:rPr>
        <w:t>. Modifíquese el artículo 1° del Decreto ley 4184 de 2011, el cual quedará así:</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w:t>
      </w:r>
      <w:r w:rsidRPr="00BC5DA9">
        <w:rPr>
          <w:rStyle w:val="a7"/>
          <w:rFonts w:ascii="Century Gothic" w:hAnsi="Century Gothic" w:cs="Segoe UI"/>
          <w:b/>
          <w:bCs/>
          <w:sz w:val="22"/>
          <w:szCs w:val="22"/>
        </w:rPr>
        <w:t xml:space="preserve">Artículo 1°. </w:t>
      </w:r>
      <w:r w:rsidRPr="00BC5DA9">
        <w:rPr>
          <w:rStyle w:val="a7"/>
          <w:rFonts w:ascii="Century Gothic" w:hAnsi="Century Gothic" w:cs="Segoe UI"/>
          <w:b/>
          <w:bCs/>
          <w:i/>
          <w:iCs/>
          <w:sz w:val="22"/>
          <w:szCs w:val="22"/>
        </w:rPr>
        <w:t>Agencia Nacional Inmobiliaria Virgilio Barco Vargas</w:t>
      </w:r>
      <w:r w:rsidRPr="00BC5DA9">
        <w:rPr>
          <w:rStyle w:val="a7"/>
          <w:rFonts w:ascii="Century Gothic" w:hAnsi="Century Gothic" w:cs="Segoe UI"/>
          <w:sz w:val="22"/>
          <w:szCs w:val="22"/>
        </w:rPr>
        <w:t>. Transfórmese la Empresa Nacional de Renovación y Desarrollo Urbano Virgilio Barco Vargas SAS, en la Agencia Nacional Inmobiliaria Virgilio Barco Vargas con personería jurídica, domiciliada en la ciudad de Bogotá, D. C., con autonomía administrativa y financiera, y adscrita al Departamento Administrativo de la Presidencia de la República.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A partir de la aprobación de la presente ley, la Empresa Nacional de Renovación y Desarrollo Urbano Virgilio Barco Vargas SAS se denominará para todos los efectos como Agencia Nacional Inmobiliaria Virgilio Barco Vargas y así se entenderá en todas las normas que se refieran a la empresa.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i/>
          <w:iCs/>
          <w:sz w:val="22"/>
          <w:szCs w:val="22"/>
        </w:rPr>
        <w:t>Objeto Social</w:t>
      </w:r>
      <w:r w:rsidRPr="00BC5DA9">
        <w:rPr>
          <w:rStyle w:val="a7"/>
          <w:rFonts w:ascii="Century Gothic" w:hAnsi="Century Gothic" w:cs="Segoe UI"/>
          <w:sz w:val="22"/>
          <w:szCs w:val="22"/>
        </w:rPr>
        <w:t xml:space="preserve">. El objeto de la Agencia Nacional Inmobiliaria Virgilio Barco Vargas será identificar, promover, gestionar, </w:t>
      </w:r>
      <w:proofErr w:type="spellStart"/>
      <w:r w:rsidRPr="00BC5DA9">
        <w:rPr>
          <w:rStyle w:val="a7"/>
          <w:rFonts w:ascii="Century Gothic" w:hAnsi="Century Gothic" w:cs="Segoe UI"/>
          <w:sz w:val="22"/>
          <w:szCs w:val="22"/>
        </w:rPr>
        <w:t>gerenciar</w:t>
      </w:r>
      <w:proofErr w:type="spellEnd"/>
      <w:r w:rsidRPr="00BC5DA9">
        <w:rPr>
          <w:rStyle w:val="a7"/>
          <w:rFonts w:ascii="Century Gothic" w:hAnsi="Century Gothic" w:cs="Segoe UI"/>
          <w:sz w:val="22"/>
          <w:szCs w:val="22"/>
        </w:rPr>
        <w:t xml:space="preserve"> y ejecutar proyectos de renovación y de desarrollo urbano, en Bogotá u otras ciudades del país, así como construir o gestionar, mediante asociaciones público-privadas o </w:t>
      </w:r>
      <w:r w:rsidRPr="00BC5DA9">
        <w:rPr>
          <w:rStyle w:val="a7"/>
          <w:rFonts w:ascii="Century Gothic" w:hAnsi="Century Gothic" w:cs="Segoe UI"/>
          <w:sz w:val="22"/>
          <w:szCs w:val="22"/>
        </w:rPr>
        <w:lastRenderedPageBreak/>
        <w:t>contratación de obras, inmuebles destinados a entidades oficiales del orden nacional y a otros usos complementarios que pueda tener el mismo proyecto.</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i/>
          <w:iCs/>
          <w:sz w:val="22"/>
          <w:szCs w:val="22"/>
        </w:rPr>
        <w:t>Estructura de la Agencia</w:t>
      </w:r>
      <w:r w:rsidRPr="00BC5DA9">
        <w:rPr>
          <w:rStyle w:val="a7"/>
          <w:rFonts w:ascii="Century Gothic" w:hAnsi="Century Gothic" w:cs="Segoe UI"/>
          <w:sz w:val="22"/>
          <w:szCs w:val="22"/>
        </w:rPr>
        <w:t>. Los órganos de Dirección y Administración de la Agencia Nacional Inmobiliaria Virgilio Barco Vargas estarán constituidos en su orden por un Consejo Directivo cuya composición será determinada por el Gobierno nacional y un Director.</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i/>
          <w:iCs/>
          <w:sz w:val="22"/>
          <w:szCs w:val="22"/>
        </w:rPr>
        <w:t>Patrimonio de la Agencia Nacional Inmobiliaria Virgilio Barco Vargas</w:t>
      </w:r>
      <w:r w:rsidRPr="00BC5DA9">
        <w:rPr>
          <w:rStyle w:val="a7"/>
          <w:rFonts w:ascii="Century Gothic" w:hAnsi="Century Gothic" w:cs="Segoe UI"/>
          <w:sz w:val="22"/>
          <w:szCs w:val="22"/>
        </w:rPr>
        <w:t>. El patrimonio de la Agencia Nacional Inmobiliaria Virgilio Barco Vargas estará constituido por: bienes y recursos públicos provenientes del Presupuesto General de la Nación, los provenientes del desarrollo de su actividad y del giro ordinario de sus negocios, los bienes que adquiera a cualquier título, gratuito u oneroso, y los productos y rendimientos de ellos, así como los bienes que posea al momento de su transformación.</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1°.</w:t>
      </w:r>
      <w:r w:rsidRPr="00BC5DA9">
        <w:rPr>
          <w:rStyle w:val="a7"/>
          <w:rFonts w:ascii="Century Gothic" w:hAnsi="Century Gothic" w:cs="Segoe UI"/>
          <w:sz w:val="22"/>
          <w:szCs w:val="22"/>
        </w:rPr>
        <w:t xml:space="preserve"> Se faculta a las entidades públicas del orden nacional para transferir a título gratuito los inmuebles ubicados en las áreas de los proyectos que desarrolle la Agencia.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b/>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2°.</w:t>
      </w:r>
      <w:r w:rsidRPr="00BC5DA9">
        <w:rPr>
          <w:rStyle w:val="a7"/>
          <w:rFonts w:ascii="Century Gothic" w:hAnsi="Century Gothic" w:cs="Segoe UI"/>
          <w:sz w:val="22"/>
          <w:szCs w:val="22"/>
        </w:rPr>
        <w:t xml:space="preserve"> Se autoriza la contratación de fiducias mercantiles para el desarrollo de los proyectos de la Agencia Nacional Inmobiliaria Virgilio Barco Vargas, en las que pueden participar las entidades públicas del orden nacional y territorial.</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b/>
          <w:sz w:val="22"/>
          <w:szCs w:val="22"/>
        </w:rPr>
        <w:t>Parágrafo 3°.</w:t>
      </w:r>
      <w:r w:rsidRPr="00BC5DA9">
        <w:rPr>
          <w:rStyle w:val="a7"/>
          <w:rFonts w:ascii="Century Gothic" w:hAnsi="Century Gothic" w:cs="Segoe UI"/>
          <w:sz w:val="22"/>
          <w:szCs w:val="22"/>
        </w:rPr>
        <w:t xml:space="preserve"> La Agencia Nacional Inmobiliaria Virgilio Barco Vargas podrá hacer uso de las facultades de expropiación administrativa de que tratan la Ley 1742 de 2014, siempre que invoque los motivos de utilidad pública contenidos en el artículo 58 de la Ley 388 de 1997, en los literales B, C, G, I, K, L, M.”.</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246.</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Subcuentas del Fondo Nacional Ambiental (</w:t>
      </w:r>
      <w:proofErr w:type="spellStart"/>
      <w:r w:rsidRPr="00BC5DA9">
        <w:rPr>
          <w:rStyle w:val="a7"/>
          <w:rFonts w:ascii="Century Gothic" w:hAnsi="Century Gothic" w:cs="Segoe UI"/>
          <w:i/>
          <w:iCs/>
          <w:sz w:val="22"/>
          <w:szCs w:val="22"/>
        </w:rPr>
        <w:t>Fonam</w:t>
      </w:r>
      <w:proofErr w:type="spellEnd"/>
      <w:r w:rsidRPr="00BC5DA9">
        <w:rPr>
          <w:rStyle w:val="a7"/>
          <w:rFonts w:ascii="Century Gothic" w:hAnsi="Century Gothic" w:cs="Segoe UI"/>
          <w:i/>
          <w:iCs/>
          <w:sz w:val="22"/>
          <w:szCs w:val="22"/>
        </w:rPr>
        <w:t>)</w:t>
      </w:r>
      <w:r w:rsidRPr="00BC5DA9">
        <w:rPr>
          <w:rStyle w:val="a7"/>
          <w:rFonts w:ascii="Century Gothic" w:hAnsi="Century Gothic" w:cs="Segoe UI"/>
          <w:sz w:val="22"/>
          <w:szCs w:val="22"/>
        </w:rPr>
        <w:t>. El Fondo Nacional Ambiental (</w:t>
      </w:r>
      <w:proofErr w:type="spellStart"/>
      <w:r w:rsidRPr="00BC5DA9">
        <w:rPr>
          <w:rStyle w:val="a7"/>
          <w:rFonts w:ascii="Century Gothic" w:hAnsi="Century Gothic" w:cs="Segoe UI"/>
          <w:sz w:val="22"/>
          <w:szCs w:val="22"/>
        </w:rPr>
        <w:t>Fonam</w:t>
      </w:r>
      <w:proofErr w:type="spellEnd"/>
      <w:r w:rsidRPr="00BC5DA9">
        <w:rPr>
          <w:rStyle w:val="a7"/>
          <w:rFonts w:ascii="Century Gothic" w:hAnsi="Century Gothic" w:cs="Segoe UI"/>
          <w:sz w:val="22"/>
          <w:szCs w:val="22"/>
        </w:rPr>
        <w:t>) tendrá tres subcuentas especiales: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1. Subcuenta para el manejo separado de los recursos presupuestales que se asignen a la administración y manejo del Sistema de Parques Nacionales. Esta subcuenta estará integrada por los recursos provenientes de la administración y manejo de las áreas del Sistema de Parques Nacionales Naturales y del Ecoturismo, así como del producto de las concesiones en dichas áreas. El Director de Parques Nacionales Naturales de Colombia tendrá la función de ordenador del gasto de esta subcuenta.</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 xml:space="preserve">2. Subcuenta para el manejo separado de los recursos presupuestales que se asignen a la Autoridad Nacional de Licencias Ambientales (ANLA), constituida por los recursos provenientes del pago de los servicios de evaluación y seguimiento a las licencias, permisos, concesiones, autorizaciones y demás instrumentos de control y manejo ambiental de competencia de la ANLA, los recursos recaudados por concepto de los permisos de importación y </w:t>
      </w:r>
      <w:r w:rsidRPr="00BC5DA9">
        <w:rPr>
          <w:rStyle w:val="a7"/>
          <w:rFonts w:ascii="Century Gothic" w:hAnsi="Century Gothic" w:cs="Segoe UI"/>
          <w:sz w:val="22"/>
          <w:szCs w:val="22"/>
        </w:rPr>
        <w:lastRenderedPageBreak/>
        <w:t>exportación de especies de fauna y flora silvestres No Cites, la aplicación de multas y demás sanciones económicas impuestas por esta autoridad. La ordenación del gasto de esta subcuenta estará en cabeza del Director de la Autoridad Nacional de Licencias Ambientales.</w:t>
      </w:r>
    </w:p>
    <w:p w:rsidR="002732EB" w:rsidRPr="00BC5DA9" w:rsidRDefault="002732EB" w:rsidP="002732EB">
      <w:pPr>
        <w:pStyle w:val="default"/>
        <w:spacing w:after="0"/>
        <w:ind w:left="284"/>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ind w:left="284"/>
        <w:jc w:val="both"/>
        <w:rPr>
          <w:rFonts w:ascii="Century Gothic" w:hAnsi="Century Gothic" w:cs="Arial"/>
          <w:sz w:val="22"/>
          <w:szCs w:val="22"/>
        </w:rPr>
      </w:pPr>
      <w:r w:rsidRPr="00BC5DA9">
        <w:rPr>
          <w:rStyle w:val="a7"/>
          <w:rFonts w:ascii="Century Gothic" w:hAnsi="Century Gothic" w:cs="Segoe UI"/>
          <w:sz w:val="22"/>
          <w:szCs w:val="22"/>
        </w:rPr>
        <w:t>3. Subcuenta para el manejo separado de los ingresos que obtenga el Ministerio de Ambiente y Desarrollo Sostenible, constituida por los recursos provenientes de los permisos de importación y exportación de especies de fauna y flora silvestres establecidos en la Convención Internacional sobre Comercio de Especies Amenazadas de Fauna y Flora Silvestres Cites, los de fabricación y distribución de sistemas de marcaje de especies de la biodiversidad regulados por esta Convención, los recursos provenientes de los contratos de acceso a los recursos genéticos que celebre, los recursos provenientes de los desincentivos económicos establecidos por la Comisión de Regulación de Agua Potable y Saneamiento Básico, CRA, en desarrollo del artículo 7° de la Ley 373 de 1997, en los casos en que se presente disminución en los niveles de precipitación ocasionados por fenómenos de variabilidad climática, con base en la información que para el efecto divulgue el Instituto de Hidrología, Meteorología y Estudios Ambientales (</w:t>
      </w:r>
      <w:proofErr w:type="spellStart"/>
      <w:r w:rsidRPr="00BC5DA9">
        <w:rPr>
          <w:rStyle w:val="a7"/>
          <w:rFonts w:ascii="Century Gothic" w:hAnsi="Century Gothic" w:cs="Segoe UI"/>
          <w:sz w:val="22"/>
          <w:szCs w:val="22"/>
        </w:rPr>
        <w:t>Ideam</w:t>
      </w:r>
      <w:proofErr w:type="spellEnd"/>
      <w:r w:rsidRPr="00BC5DA9">
        <w:rPr>
          <w:rStyle w:val="a7"/>
          <w:rFonts w:ascii="Century Gothic" w:hAnsi="Century Gothic" w:cs="Segoe UI"/>
          <w:sz w:val="22"/>
          <w:szCs w:val="22"/>
        </w:rPr>
        <w:t>) y los provenientes de la aplicación de multas y demás sanciones económicas impuestas por este Ministerio. El Ministro de Ambiente y Desarrollo Sostenible será el ordenador del gasto de esta subcuenta.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247.</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Formulación de una política integrada para la gestión de zonas marinas, costeras e insulares</w:t>
      </w:r>
      <w:r w:rsidRPr="00BC5DA9">
        <w:rPr>
          <w:rStyle w:val="a7"/>
          <w:rFonts w:ascii="Century Gothic" w:hAnsi="Century Gothic" w:cs="Segoe UI"/>
          <w:sz w:val="22"/>
          <w:szCs w:val="22"/>
        </w:rPr>
        <w:t>. El Gobierno Nacional, bajo el liderazgo del Departamento Nacional de Planeación, en coordinación con otros ministerios y entidades públicas y el sector privado, formulará y adoptará la política integrada para la gestión de zonas marinas, costeras e insulares del país, la cual incluirá un programa nacional para la prevención, mitigación y control de la erosión costera, propendiendo por la seguridad habitacional y el bienestar de las poblaciones asentadas en estas zonas y el desarrollo sectorial compatible con las dinámicas de dicho fenómeno.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248.</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Política pública de defensa de los derechos de los animales y/o protección animal</w:t>
      </w:r>
      <w:r w:rsidRPr="00BC5DA9">
        <w:rPr>
          <w:rStyle w:val="a7"/>
          <w:rFonts w:ascii="Century Gothic" w:hAnsi="Century Gothic" w:cs="Segoe UI"/>
          <w:sz w:val="22"/>
          <w:szCs w:val="22"/>
        </w:rPr>
        <w:t>. El Gobierno Nacional promoverá políticas públicas y acciones gubernamentales en las cuales se fomenten, promulguen y difundan los derechos de los animales y/o la protección animal. Para tal efecto, en coordinación con las organizaciones sociales de defensa de los animales, diseñará una política en la cual se establecerán los conceptos, competencias institucionales, condiciones, aspectos, limitaciones y especificaciones sobre el cuidado animal en cuanto a la reproducción, tenencia, adopción, producción, distribución y comercialización de animales domésticos no aptos para reproducirse.</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Las entidades territoriales y descentralizadas del Estado se encargarán de vigilar, controlar y fomentar el respeto por los animales y su integridad física y anímica.</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lastRenderedPageBreak/>
        <w:t>Adicionalmente, las organizaciones sociales de defensa de los animales participarán de manera coordinada con las entidades nacionales y territoriales para la difusión de las políticas a que se refiere el presente artículo.</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Parágrafo.</w:t>
      </w:r>
      <w:r w:rsidRPr="00BC5DA9">
        <w:rPr>
          <w:rStyle w:val="a7"/>
          <w:rFonts w:ascii="Century Gothic" w:hAnsi="Century Gothic" w:cs="Segoe UI"/>
          <w:sz w:val="22"/>
          <w:szCs w:val="22"/>
        </w:rPr>
        <w:t xml:space="preserve"> Se mantendrán las excepciones contempladas en el artículo 7° de la Ley 84 de 1989.</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b/>
          <w:sz w:val="22"/>
          <w:szCs w:val="22"/>
        </w:rPr>
        <w:t>Artículo 249.</w:t>
      </w:r>
      <w:r w:rsidRPr="00BC5DA9">
        <w:rPr>
          <w:rStyle w:val="a7"/>
          <w:rFonts w:ascii="Century Gothic" w:hAnsi="Century Gothic" w:cs="Segoe UI"/>
          <w:sz w:val="22"/>
          <w:szCs w:val="22"/>
        </w:rPr>
        <w:t xml:space="preserve"> </w:t>
      </w:r>
      <w:r w:rsidRPr="00BC5DA9">
        <w:rPr>
          <w:rStyle w:val="a7"/>
          <w:rFonts w:ascii="Century Gothic" w:hAnsi="Century Gothic" w:cs="Segoe UI"/>
          <w:i/>
          <w:iCs/>
          <w:sz w:val="22"/>
          <w:szCs w:val="22"/>
        </w:rPr>
        <w:t>Programa Nacional de Reconversión Pecuaria Sostenible</w:t>
      </w:r>
      <w:r w:rsidRPr="00BC5DA9">
        <w:rPr>
          <w:rStyle w:val="a7"/>
          <w:rFonts w:ascii="Century Gothic" w:hAnsi="Century Gothic" w:cs="Segoe UI"/>
          <w:sz w:val="22"/>
          <w:szCs w:val="22"/>
        </w:rPr>
        <w:t xml:space="preserve">. El Ministerio de Agricultura y Desarrollo Rural, con el apoyo de </w:t>
      </w:r>
      <w:proofErr w:type="spellStart"/>
      <w:r w:rsidRPr="00BC5DA9">
        <w:rPr>
          <w:rStyle w:val="a7"/>
          <w:rFonts w:ascii="Century Gothic" w:hAnsi="Century Gothic" w:cs="Segoe UI"/>
          <w:sz w:val="22"/>
          <w:szCs w:val="22"/>
        </w:rPr>
        <w:t>Corpoica</w:t>
      </w:r>
      <w:proofErr w:type="spellEnd"/>
      <w:r w:rsidRPr="00BC5DA9">
        <w:rPr>
          <w:rStyle w:val="a7"/>
          <w:rFonts w:ascii="Century Gothic" w:hAnsi="Century Gothic" w:cs="Segoe UI"/>
          <w:sz w:val="22"/>
          <w:szCs w:val="22"/>
        </w:rPr>
        <w:t xml:space="preserve"> y la Unidad de Planificación de Tierras Rurales, Adecuación de Tierras y Usos Agropecuarios, en coordinación con el Departamento Nacional de Planeación, el Ministerio de Ambiente y Desarrollo Sostenible y con los gremios del sector agropecuario y en el marco de la estrategia de crecimiento verde, implementará el Programa Nacional de Reconversión Pecuaria Sostenible, tendiente a la reconversión productiva de las áreas dedicadas a la ganadería extensiva que presentan conflicto en el uso del suelo de acuerdo con su vocación. Para ello, el programa impulsará, dentro de otras estrategias que se diseñen, el aumento en cobertura de los sistemas agropecuarios sostenibles como los arreglos </w:t>
      </w:r>
      <w:proofErr w:type="spellStart"/>
      <w:r w:rsidRPr="00BC5DA9">
        <w:rPr>
          <w:rStyle w:val="a7"/>
          <w:rFonts w:ascii="Century Gothic" w:hAnsi="Century Gothic" w:cs="Segoe UI"/>
          <w:sz w:val="22"/>
          <w:szCs w:val="22"/>
        </w:rPr>
        <w:t>silvopastoriles</w:t>
      </w:r>
      <w:proofErr w:type="spellEnd"/>
      <w:r w:rsidRPr="00BC5DA9">
        <w:rPr>
          <w:rStyle w:val="a7"/>
          <w:rFonts w:ascii="Century Gothic" w:hAnsi="Century Gothic" w:cs="Segoe UI"/>
          <w:sz w:val="22"/>
          <w:szCs w:val="22"/>
        </w:rPr>
        <w:t xml:space="preserve"> y otros, de tal manera que se propenda por la conservación, recuperación, rehabilitación y restauración de ecosistemas naturales, corredores ecológicos y suelos degradados en paisajes agropecuarios.</w:t>
      </w:r>
    </w:p>
    <w:p w:rsidR="002732EB" w:rsidRPr="00BC5DA9" w:rsidRDefault="002732EB" w:rsidP="002732EB">
      <w:pPr>
        <w:pStyle w:val="default"/>
        <w:spacing w:after="0"/>
        <w:jc w:val="both"/>
        <w:rPr>
          <w:rFonts w:ascii="Century Gothic" w:hAnsi="Century Gothic" w:cs="Arial"/>
          <w:sz w:val="22"/>
          <w:szCs w:val="22"/>
        </w:rPr>
      </w:pPr>
      <w:r w:rsidRPr="00BC5DA9">
        <w:rPr>
          <w:rFonts w:ascii="Century Gothic" w:hAnsi="Century Gothic" w:cs="Segoe UI"/>
          <w:sz w:val="22"/>
          <w:szCs w:val="22"/>
        </w:rPr>
        <w:t> </w:t>
      </w:r>
    </w:p>
    <w:p w:rsidR="002732EB" w:rsidRPr="00BC5DA9" w:rsidRDefault="002732EB" w:rsidP="002732EB">
      <w:pPr>
        <w:pStyle w:val="pa6"/>
        <w:spacing w:after="0"/>
        <w:jc w:val="both"/>
        <w:rPr>
          <w:rFonts w:ascii="Century Gothic" w:hAnsi="Century Gothic" w:cs="Arial"/>
          <w:sz w:val="22"/>
          <w:szCs w:val="22"/>
        </w:rPr>
      </w:pPr>
      <w:r w:rsidRPr="00BC5DA9">
        <w:rPr>
          <w:rStyle w:val="a7"/>
          <w:rFonts w:ascii="Century Gothic" w:hAnsi="Century Gothic" w:cs="Segoe UI"/>
          <w:sz w:val="22"/>
          <w:szCs w:val="22"/>
        </w:rPr>
        <w:t>Este programa se implementará mediante proyectos que incluirán soporte técnico, evaluación de proyectos, generación de capacidades para asistentes técnicos y acompañamiento institucional para la sostenibilidad ambiental. La financiación de los proyectos se considerará en el marco de la operación de los instrumentos existentes tales como el Certificado del Incentivo Forestal (CIF) e Incentivo a la Capitalización Rural (ICR) y se diseñarán líneas especiales de crédito que incentiven el establecimiento de estos modelos sostenibles.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250.</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Consejo Nacional del Agua</w:t>
      </w:r>
      <w:r w:rsidRPr="00BC5DA9">
        <w:rPr>
          <w:rFonts w:ascii="Century Gothic" w:eastAsia="Times New Roman" w:hAnsi="Century Gothic" w:cs="Segoe UI"/>
          <w:lang w:eastAsia="es-MX"/>
        </w:rPr>
        <w:t>. Créase el Consejo Nacional del Agua como un organismo coordinador de la gestión integral del recurso hídrico. El Consejo estará integrado por el Director del Departamento Nacional de Planeación o su delegado, el Ministro de Ambiente y Desarrollo Sostenible o su delegado quien ejercerá la Secretaría Técnica, el Ministro de Minas y Energía o su delegado, el Ministro de Agricultura y Desarrollo Rural o su delegado, el Ministro de Vivienda, Ciudad y Territorio o su delegado y el Ministro de Salud y Protección Social o su delegado.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Podrán asistir al Consejo, en calidad de invitados, personas naturales o jurídicas con el fin de discutir aspectos relevantes en el desarrollo de su objeto.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Este Consejo asumirá las funciones de coordinación y articulación intersectorial de las políticas, planes y programas para la administración sostenible del recurso hídrico.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Gobierno Nacional reglamentará lo relacionado con el objeto, funciones del Consejo, así como con las herramientas de articulación y </w:t>
      </w:r>
      <w:r w:rsidRPr="00BC5DA9">
        <w:rPr>
          <w:rFonts w:ascii="Century Gothic" w:eastAsia="Times New Roman" w:hAnsi="Century Gothic" w:cs="Segoe UI"/>
          <w:lang w:eastAsia="es-MX"/>
        </w:rPr>
        <w:lastRenderedPageBreak/>
        <w:t>coordinación interinstitucional, para ejecutar la política de administración sostenible del recurso hídrico.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251</w:t>
      </w:r>
      <w:r w:rsidRPr="00BC5DA9">
        <w:rPr>
          <w:rFonts w:ascii="Century Gothic" w:eastAsia="Times New Roman" w:hAnsi="Century Gothic" w:cs="Segoe UI"/>
          <w:b/>
          <w:i/>
          <w:iCs/>
          <w:lang w:eastAsia="es-MX"/>
        </w:rPr>
        <w:t>.</w:t>
      </w:r>
      <w:r w:rsidRPr="00BC5DA9">
        <w:rPr>
          <w:rFonts w:ascii="Century Gothic" w:eastAsia="Times New Roman" w:hAnsi="Century Gothic" w:cs="Segoe UI"/>
          <w:i/>
          <w:iCs/>
          <w:lang w:eastAsia="es-MX"/>
        </w:rPr>
        <w:t xml:space="preserve"> Pasivos ambientales</w:t>
      </w:r>
      <w:r w:rsidRPr="00BC5DA9">
        <w:rPr>
          <w:rFonts w:ascii="Century Gothic" w:eastAsia="Times New Roman" w:hAnsi="Century Gothic" w:cs="Segoe UI"/>
          <w:lang w:eastAsia="es-MX"/>
        </w:rPr>
        <w:t>. El Gobierno Nacional, bajo el liderazgo del Ministerio de Ambiente y Desarrollo Sostenible, formulará una política para la gestión de pasivos ambientales, en la cual se establezca una única definición de pasivos ambientales y se establezcan los mecanismos e instrumentos técnicos, jurídicos y financieros para su gestión y recuperación. Dicha política debe incluir un plan de acción a corto, mediano y largo plazo, con estrategias orientadas a la identificación, priorización, valoración y recuperación de pasivos ambientales; al desarrollo de instrumentos de información ambiental; a la definición de responsabilidades institucionales a nivel nacional y regional; a la implementación de instrumentos económicos; y al establecimiento de acciones judiciales; entre otros aspectos que se consideren fundamentales para la gestión de los pasivos ambientales.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Contratos de acceso a recursos genéticos y/o sus productos derivados</w:t>
      </w:r>
      <w:r w:rsidRPr="00BC5DA9">
        <w:rPr>
          <w:rFonts w:ascii="Century Gothic" w:eastAsia="Times New Roman" w:hAnsi="Century Gothic" w:cs="Segoe UI"/>
          <w:lang w:eastAsia="es-MX"/>
        </w:rPr>
        <w:t>. Las personas naturales o jurídicas, nacionales o extranjeras, que a la entrada en vigencia de la presente ley hayan realizado o se encuentren realizando actividades de investigación científica no comercial, actividades de investigación con fines de prospección biológica, o actividades con fines comerciales o industriales, que configuren acceso a recursos genéticos y/o sus productos sin contar con la autorización del Ministerio de Ambiente y Desarrollo Sostenible, tendrán dos (2) años a partir de la entrada en vigencia de la presente ley para solicitar el contrato de acceso a recursos genéticos y sus productos derivados.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solicitudes que estén en trámite y que hayan realizado o se encuentren realizando acceso a recursos genéticos y/o sus productos derivados, en las condiciones descritas en el inciso anterior deberán informarlo al Ministerio. Desde la radicación de la solicitud y hasta la celebración y perfeccionamiento del contrato de acceso a recursos genéticos y/o sus productos derivados o hasta la denegación del trámite, el solicitante podrá continuar accediendo al recurso genético y/o sus productos derivados.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Aquellas colecciones biológicas existentes a 25 de febrero de 2000, que no puedan acreditar el material obtenido en el marco de actividades de recolección, de proyectos de investigación científica y/o prácticas docentes universitarias finalizadas, podrán registrar por única vez dicho material ante el Instituto de Investigación Alexander von Humboldt, dentro del año siguiente a la publicación de la presente ley y de conformidad con los parámetros previstos en las normas que regulan la materia.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Tasa para la Ciénaga Grande de Santa Marta</w:t>
      </w:r>
      <w:r w:rsidRPr="00BC5DA9">
        <w:rPr>
          <w:rFonts w:ascii="Century Gothic" w:eastAsia="Times New Roman" w:hAnsi="Century Gothic" w:cs="Segoe UI"/>
          <w:lang w:eastAsia="es-MX"/>
        </w:rPr>
        <w:t>. Modifíquese el parágrafo del artículo 1° de la Ley 981 de 2005, modificada por la Ley 1718 de 2014, el cual quedará así:</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w:t>
      </w:r>
      <w:r w:rsidRPr="00BC5DA9">
        <w:rPr>
          <w:rFonts w:ascii="Century Gothic" w:eastAsia="Times New Roman" w:hAnsi="Century Gothic" w:cs="Segoe UI"/>
          <w:b/>
          <w:bCs/>
          <w:lang w:eastAsia="es-MX"/>
        </w:rPr>
        <w:t>Parágrafo</w:t>
      </w:r>
      <w:r w:rsidRPr="00BC5DA9">
        <w:rPr>
          <w:rFonts w:ascii="Century Gothic" w:eastAsia="Times New Roman" w:hAnsi="Century Gothic" w:cs="Segoe UI"/>
          <w:lang w:eastAsia="es-MX"/>
        </w:rPr>
        <w:t>. El Gobierno Nacional no podrá ordenar el cobro de la Sobretasa Ambiental sino exclusivamente a las vías que conducen del municipio de Ciénaga (Magdalena) a la ciudad de Barranquilla y del municipio de Ciénaga (Magdalena) al municipio de Fundación (Magdalena), en ambos sentidos de las vías, y que en la actualidad afecta a la Ciénaga Grande de Santa Marta, así como a la vía que conduce de la ciudad de Barranquilla (Atlántico) a la ciudad de Cartagena (Bolívar) y que afecta en la actualidad a la Ciénaga de La Virgen (Bolívar).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Región Administrativa de Planeación para la Amazonía</w:t>
      </w:r>
      <w:r w:rsidRPr="00BC5DA9">
        <w:rPr>
          <w:rFonts w:ascii="Century Gothic" w:eastAsia="Times New Roman" w:hAnsi="Century Gothic" w:cs="Segoe UI"/>
          <w:lang w:eastAsia="es-MX"/>
        </w:rPr>
        <w:t>. La autoridad competente podrá crear una Región Administrativa de Planeación (RAP) para la Amazonía, de acuerdo con la Ley 1454 de 2011.</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Gobierno Nacional deberá crear una instancia de coordinación intersectorial, para garantizar un modelo de desarrollo sostenible que promueva y garantice pactos territoriales participativos para el desarrollo humano y ambientalmente sostenible.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En esta instancia, se generarán agendas sectoriales con el propósito de fortalecer cadenas de valor competitivas y sostenibles que permitan construir mecanismos y alternativas para un uso adecuado y responsable del medio ambiente y de los recursos naturales, para proteger la biodiversidad y los conocimientos tradicionales de las comunidades indígenas de la Amazonía.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Compensación a territorios colectivos de comunidades negras</w:t>
      </w:r>
      <w:r w:rsidRPr="00BC5DA9">
        <w:rPr>
          <w:rFonts w:ascii="Century Gothic" w:eastAsia="Times New Roman" w:hAnsi="Century Gothic" w:cs="Segoe UI"/>
          <w:lang w:eastAsia="es-MX"/>
        </w:rPr>
        <w:t>. Con cargo al Presupuesto General de la Nación, a partir de la vigencia fiscal de 2017, el Ministerio de Hacienda y Crédito Público girará anualmente a los municipios en donde existan territorios colectivos de comunidades negras al momento de entrar en vigencia la presente ley, las cantidades que equivalgan a lo que tales municipios dejen de recaudar por concepto del impuesto predial unificado, según certificación del respectivo tesorero municipal. Para efectos de dar cumplimiento a lo aquí dispuesto, la tarifa aplicable para los territorios colectivos de comunidades negras será la resultante del promedio ponderado de las tarifas definidas para los demás predios del respectivo municipio o distrito, según la metodología expedida por el Instituto Geográfico Agustín Codazzi (IGAC). El Gobierno Nacional definirá el esquema mediante el cual se iniciarán progresivamente los giros a las entidades territoriales previo estudio de las condiciones financieras y de entorno de desarrollo de cada municipio.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256.</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Transparencia de la democracia</w:t>
      </w:r>
      <w:r w:rsidRPr="00BC5DA9">
        <w:rPr>
          <w:rFonts w:ascii="Century Gothic" w:eastAsia="Times New Roman" w:hAnsi="Century Gothic" w:cs="Segoe UI"/>
          <w:lang w:eastAsia="es-MX"/>
        </w:rPr>
        <w:t>. El Gobierno Nacional procurará los recursos necesarios para garantizar la transparencia en la democracia de la que son responsables los partidos políticos.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Bicentenario de la Independencia Nacional</w:t>
      </w:r>
      <w:r w:rsidRPr="00BC5DA9">
        <w:rPr>
          <w:rFonts w:ascii="Century Gothic" w:eastAsia="Times New Roman" w:hAnsi="Century Gothic" w:cs="Segoe UI"/>
          <w:lang w:eastAsia="es-MX"/>
        </w:rPr>
        <w:t>. Créese una comisión de expertos para la Conmemoración del Bicentenario de la Independencia Nacional que se encargará de definir las actividades para la conmemoración y celebración del Bicentenario de la Independencia que se realizará el 7 de agosto de 2019.</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Los miembros de esta Comisión serán definidos por el Gobierno Nacional y actuarán ad honórem.</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El Instituto Colombiano de Antropología e Historia (ICANH), con el acompañamiento de la Asociación Colombiana de Historiadores y la Academia Colombiana de Historia, determinarán los municipios que conformarán la ruta libertadora, para efectos de la conmemoración de que trata este artículo.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258.</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 xml:space="preserve">Transferencia de zonas francas de frontera a entidades territoriales. </w:t>
      </w:r>
      <w:r w:rsidRPr="00BC5DA9">
        <w:rPr>
          <w:rFonts w:ascii="Century Gothic" w:eastAsia="Times New Roman" w:hAnsi="Century Gothic" w:cs="Segoe UI"/>
          <w:lang w:eastAsia="es-MX"/>
        </w:rPr>
        <w:t>Con el propósito de incentivar el desarrollo industrial, el Ministerio de Comercio Industria y Turismo podrá transferir las zonas francas localizadas en municipios de frontera a los entes territoriales donde ellas se ubican.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259.</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Del giro directo en régimen contributivo</w:t>
      </w:r>
      <w:r w:rsidRPr="00BC5DA9">
        <w:rPr>
          <w:rFonts w:ascii="Century Gothic" w:eastAsia="Times New Roman" w:hAnsi="Century Gothic" w:cs="Segoe UI"/>
          <w:lang w:eastAsia="es-MX"/>
        </w:rPr>
        <w:t xml:space="preserve">. El Fondo de Solidaridad y Garantías </w:t>
      </w:r>
      <w:proofErr w:type="spellStart"/>
      <w:r w:rsidRPr="00BC5DA9">
        <w:rPr>
          <w:rFonts w:ascii="Century Gothic" w:eastAsia="Times New Roman" w:hAnsi="Century Gothic" w:cs="Segoe UI"/>
          <w:lang w:eastAsia="es-MX"/>
        </w:rPr>
        <w:t>Fosyga</w:t>
      </w:r>
      <w:proofErr w:type="spellEnd"/>
      <w:r w:rsidRPr="00BC5DA9">
        <w:rPr>
          <w:rFonts w:ascii="Century Gothic" w:eastAsia="Times New Roman" w:hAnsi="Century Gothic" w:cs="Segoe UI"/>
          <w:lang w:eastAsia="es-MX"/>
        </w:rPr>
        <w:t xml:space="preserve"> o quien haga sus veces girará directamente los recursos del régimen contributivo correspondiente a las Unidades de Pago por Capitación (UPC) destinadas a la prestación de servicios de salud a todas las instituciones y entidades que prestan servicios y que provean tecnologías incluidas en el plan de beneficios, de conformidad con los porcentajes y las condiciones que defina el Ministerio de Salud y Protección Social.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mecanismo de giro directo de que trata el presente artículo solo se aplicará a las Entidades Promotoras de Salud del Régimen Contributivo que no cumplan las metas del régimen de solvencia, conforme a la normatividad vigente y de acuerdo con la evaluación que para el efecto publique la Superintendencia Nacional de Salud.</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Parágrafo.</w:t>
      </w:r>
      <w:r w:rsidRPr="00BC5DA9">
        <w:rPr>
          <w:rFonts w:ascii="Century Gothic" w:eastAsia="Times New Roman" w:hAnsi="Century Gothic" w:cs="Segoe UI"/>
          <w:lang w:eastAsia="es-MX"/>
        </w:rPr>
        <w:t xml:space="preserve"> Este mecanismo también operará para el giro directo de los recursos del régimen contributivo por servicios y tecnologías de salud no incluidos en el plan de beneficios, según lo dispuesto en el presente artículo.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260.</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Política pública de inclusión social y productiva</w:t>
      </w:r>
      <w:r w:rsidRPr="00BC5DA9">
        <w:rPr>
          <w:rFonts w:ascii="Century Gothic" w:eastAsia="Times New Roman" w:hAnsi="Century Gothic" w:cs="Segoe UI"/>
          <w:lang w:eastAsia="es-MX"/>
        </w:rPr>
        <w:t>. El Gobierno Nacional diseñará y pondrá en marcha la política pública de inclusión social y productiva para orientar la ejecución y articulación de los planes, proyectos y programas encaminados a la superación de la pobreza y la estabilización socioeconómica de la población vulnerable, generando procesos de movilidad social que garanticen la sostenibilidad de los procesos y mejoren la eficiencia en el uso de los recursos públicos.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261.</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Depuración contable</w:t>
      </w:r>
      <w:r w:rsidRPr="00BC5DA9">
        <w:rPr>
          <w:rFonts w:ascii="Century Gothic" w:eastAsia="Times New Roman" w:hAnsi="Century Gothic" w:cs="Segoe UI"/>
          <w:lang w:eastAsia="es-MX"/>
        </w:rPr>
        <w:t>. Modifíquese el artículo 59 de la Ley 1739 de 2014. Depuración contable. La Unidad Administrativa Especial – Dirección de Impuestos y Aduanas Nacionales (DIAN) adelantará, en un plazo máximo de cuatro (4) años contados a partir de la vigencia de la presente ley, las gestiones administrativas necesarias para depurar la información contable, de manera que en los estados financieros se revele en forma fidedigna la realidad económica, financiera y patrimonial de la entidad.</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Para el efecto, deberá establecerse la existencia real de bienes, derechos y obligaciones, que afectan su patrimonio depurando y castigando los valores que presentan un estado de cobranza o pago incierto, para proceder, si fuera el caso a su eliminación o incorporación de conformidad con los lineamientos de la presente ley.</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Para tal efecto la entidad depurará los valores contables, cuando corresponda a alguna de las siguientes condiciones: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a) Los valores que afectan la situación patrimonial y no representan derechos, bienes u obligaciones ciertos para la entidad.</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b) Los derechos u obligaciones que no obstante su existencia no es posible ejercerlos por jurisdicción coactiva.</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c) Que correspondan a derechos u obligaciones con una antigüedad tal que no es posible ejercer su exigibilidad, por cuanto operan los fenómenos de prescripción.</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d) Los derechos u obligaciones que carecen de documentos soporte idóneo que permitan adelantar los procedimientos pertinentes para su cobro o pago.</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e) Cuando no haya sido posible legalmente imputarle a persona alguna el valor por pérdida de los bienes o derechos.</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ind w:left="284"/>
        <w:jc w:val="both"/>
        <w:rPr>
          <w:rFonts w:ascii="Century Gothic" w:eastAsia="Times New Roman" w:hAnsi="Century Gothic" w:cs="Arial"/>
          <w:lang w:eastAsia="es-MX"/>
        </w:rPr>
      </w:pPr>
      <w:r w:rsidRPr="00BC5DA9">
        <w:rPr>
          <w:rFonts w:ascii="Century Gothic" w:eastAsia="Times New Roman" w:hAnsi="Century Gothic" w:cs="Segoe UI"/>
          <w:lang w:eastAsia="es-MX"/>
        </w:rPr>
        <w:t>f) Cuando evaluada y establecida la relación costo beneficio resulte más oneroso adelantar el proceso de que se trate.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262.</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Cesión de permisos de uso del espacio radioeléctrico</w:t>
      </w:r>
      <w:r w:rsidRPr="00BC5DA9">
        <w:rPr>
          <w:rFonts w:ascii="Century Gothic" w:eastAsia="Times New Roman" w:hAnsi="Century Gothic" w:cs="Segoe UI"/>
          <w:lang w:eastAsia="es-MX"/>
        </w:rPr>
        <w:t>. La cesión de los permisos de uso del espectro radioeléctrico no generará contraprestación alguna a favor de la Nación. El negocio jurídico que, para este propósito, se celebre entre cedente y cesionario se sujetará al derecho privado, y a la aprobación del Ministerio de las TIC.</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263</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Fortalecimiento en seguridad de carreteras</w:t>
      </w:r>
      <w:r w:rsidRPr="00BC5DA9">
        <w:rPr>
          <w:rFonts w:ascii="Century Gothic" w:eastAsia="Times New Roman" w:hAnsi="Century Gothic" w:cs="Segoe UI"/>
          <w:lang w:eastAsia="es-MX"/>
        </w:rPr>
        <w:t>. Para mejorar las condiciones de seguridad en pasos nacionales, las entidades territoriales podrán destinar recursos percibidos por conceptos de multas y sanciones de infracciones de tránsito, de conformidad con el artículo 160 de la Ley 769 de 2002, a través de convenios con la Agencia Nacional de Seguridad Vial, para realizar acciones e inversiones en el mejoramiento de la seguridad de estos, que podrá extenderse a la vigilancia y control mediante la inclusión de recursos tecnológicos y de iluminación, que puede ser con el uso de energías alternativas, todo lo cual será reglamentado por el Ministerio de Transporte.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264.</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Transparencia de la democracia</w:t>
      </w:r>
      <w:r w:rsidRPr="00BC5DA9">
        <w:rPr>
          <w:rFonts w:ascii="Century Gothic" w:eastAsia="Times New Roman" w:hAnsi="Century Gothic" w:cs="Segoe UI"/>
          <w:lang w:eastAsia="es-MX"/>
        </w:rPr>
        <w:t>. El Gobierno Nacional procurará los recursos necesarios para garantizar la transparencia en la democracia de la que son responsables los partidos políticos.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lastRenderedPageBreak/>
        <w:t>De conformidad con el artículo 265 de la Constitución Política, el Consejo Nacional Electoral, de manera exclusiva y excluyente, tendrá la inspección y vigilancia de los partidos y movimientos políticos con personería jurídica y grupos significativos de ciudadanos.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265.</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Modificación de licencias urbanísticas</w:t>
      </w:r>
      <w:r w:rsidRPr="00BC5DA9">
        <w:rPr>
          <w:rFonts w:ascii="Century Gothic" w:eastAsia="Times New Roman" w:hAnsi="Century Gothic" w:cs="Segoe UI"/>
          <w:lang w:eastAsia="es-MX"/>
        </w:rPr>
        <w:t>. El otorgamiento de la licencia urbanística implica la adquisición de derechos de desarrollo y construcción en los términos y condiciones contenidos en el acto administrativo respectivo, así como la certificación del cumplimiento de las normas y demás reglamentaciones en que se fundamenta, y conlleva la autorización específica sobre uso y aprovechamiento del suelo en tanto esté vigente o cuando se haya cumplido con todas las obligaciones establecidas en la misma.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Las modificaciones de licencias vigentes se resolverán con fundamento en las normas urbanísticas y demás reglamentaciones que sirvieron de base para su expedición. En los casos en que un Plan de Ordenamiento Territorial u otros actos administrativos que lo desarrollen y complementen sean suspendidos provisionalmente por la jurisdicción de lo Contencioso-Administrativo; los curadores urbanos o la autoridad municipal o distrital competente, resolverán las solicitudes de modificación de licencias urbanísticas, con fundamento en dichas normas, siempre y cuando la solicitud se realice a partir de la entrada en vigencia de la presente ley, la licencia de urbanización y/o construcción no haya perdido vigencia y además la providencia de suspensión no se hubiere incluido disposición en contrario.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 xml:space="preserve">Artículo 266. </w:t>
      </w:r>
      <w:r w:rsidRPr="00BC5DA9">
        <w:rPr>
          <w:rFonts w:ascii="Century Gothic" w:eastAsia="Times New Roman" w:hAnsi="Century Gothic" w:cs="Segoe UI"/>
          <w:i/>
          <w:iCs/>
          <w:lang w:eastAsia="es-MX"/>
        </w:rPr>
        <w:t>Inversiones programa de saneamiento del r</w:t>
      </w:r>
      <w:r w:rsidRPr="00BC5DA9">
        <w:rPr>
          <w:rFonts w:ascii="Century Gothic" w:eastAsia="Times New Roman" w:hAnsi="Century Gothic" w:cs="Segoe UI"/>
          <w:lang w:eastAsia="es-MX"/>
        </w:rPr>
        <w:t>ío Bogotá. Para el caso de la Corporación Autónoma Regional de Cundinamarca (CAR), el 50% de los recursos que, conforme a lo señalado por el artículo 44 de la Ley 99 de 1993, sean producto del recaudo del porcentaje o de la sobretasa ambiental al impuesto predial y de otros gravámenes sobre la propiedad inmueble de Bogotá, D. C., incluidos sus intereses y sanciones, se destinarán para la financiación de los proyectos de adecuación hidráulica, ampliación, construcción y optimización de plantas de tratamiento de aguas residuales u otros proyectos de saneamiento ambiental a desarrollar en cualquiera de las cuencas integrantes del río Bogotá, en jurisdicción de la Car Cundinamarca.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Artículo 267.</w:t>
      </w:r>
      <w:r w:rsidRPr="00BC5DA9">
        <w:rPr>
          <w:rFonts w:ascii="Century Gothic" w:eastAsia="Times New Roman" w:hAnsi="Century Gothic" w:cs="Segoe UI"/>
          <w:lang w:eastAsia="es-MX"/>
        </w:rPr>
        <w:t xml:space="preserve"> </w:t>
      </w:r>
      <w:r w:rsidRPr="00BC5DA9">
        <w:rPr>
          <w:rFonts w:ascii="Century Gothic" w:eastAsia="Times New Roman" w:hAnsi="Century Gothic" w:cs="Segoe UI"/>
          <w:i/>
          <w:iCs/>
          <w:lang w:eastAsia="es-MX"/>
        </w:rPr>
        <w:t>Vigencias y derogatorias</w:t>
      </w:r>
      <w:r w:rsidRPr="00BC5DA9">
        <w:rPr>
          <w:rFonts w:ascii="Century Gothic" w:eastAsia="Times New Roman" w:hAnsi="Century Gothic" w:cs="Segoe UI"/>
          <w:lang w:eastAsia="es-MX"/>
        </w:rPr>
        <w:t>. La presente ley rige a partir de su publicación y deroga todas las disposiciones que le sean contrarias.</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Se deroga expresamente el artículo 121 de la Ley 812 de 2003; los artículos 21, 120 y 121 de la Ley 1151 de 2007; los artículos 9°, 17, 31, 53, 54, 55, 58, 65, 66, 67, 68, 70, 71, 72, 76, 77, 79, 80, 81, 82, 83, 89, 93, 94, 95, 97, 109, 117, 119, 124, 128, 129, 150, 167, 172, 176, 182, 185, 186, 189, 199, 202, 205, 209, 217, 225, 226, el parágrafo del artículo 91, y parágrafos 1° y 2° del artículo 261 de la Ley 1450 de 2011.</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xml:space="preserve">Con el fin de dar continuidad a los planes, programas y proyectos de mediano y largo plazo, los artículos de las Leyes 812 de 2003, 1151 de 2007 y 1450 de 2011 no </w:t>
      </w:r>
      <w:r w:rsidRPr="00BC5DA9">
        <w:rPr>
          <w:rFonts w:ascii="Century Gothic" w:eastAsia="Times New Roman" w:hAnsi="Century Gothic" w:cs="Segoe UI"/>
          <w:lang w:eastAsia="es-MX"/>
        </w:rPr>
        <w:lastRenderedPageBreak/>
        <w:t>derogados expresamente en el inciso anterior o por otras leyes continuarán vigentes hasta que sean derogados o modificados por norma posterior.</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Se deroga en especial el parágrafo del artículo 88 de la Ley 99 de 1993; el numeral 6 del artículo 2° de la Ley 310 de 1996; el inciso 7° del artículo 13 de la Ley 335 de 1996; el numeral 5 del artículo 2° de la Ley 549 de 1999; el artículo 85 de la Ley 617 de 2000; el parágrafo del artículo 13 del Decreto ley 254 de 2000; literales a) y c) del parágrafo 1° del artículo 2° de la Ley 680 de 2001; los parágrafos 1° y 2° del artículo 17 de la Ley 769 de 2002; los artículos 18 de la Ley 1122 de 2007; el inciso 1° del artículo 58 de la Ley 1341 de 2009; el artículo 82 de la Ley 1306 de 2009; el numeral 16-7 del artículo 16, el parágrafo transitorio del artículo 112 de la Ley 1438 de 2011; el artículo 1° del Decreto ley 4185 de 2011; el artículo 178 del Decreto ley 019 de 2012; el numeral 2 del artículo 9° y el numeral 1° del artículo 10 de la Ley 1530 de 2012; los artículos 1°, 2°, 3° y 4° de la Ley 1547 de 2012 y el artículo 10 de la Ley 1709 de 2014.</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Presidente del honorable Senado de la República,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right"/>
        <w:rPr>
          <w:rFonts w:ascii="Century Gothic" w:eastAsia="Times New Roman" w:hAnsi="Century Gothic" w:cs="Arial"/>
          <w:lang w:eastAsia="es-MX"/>
        </w:rPr>
      </w:pPr>
      <w:r w:rsidRPr="00BC5DA9">
        <w:rPr>
          <w:rFonts w:ascii="Century Gothic" w:eastAsia="Times New Roman" w:hAnsi="Century Gothic" w:cs="Segoe UI"/>
          <w:b/>
          <w:i/>
          <w:iCs/>
          <w:lang w:eastAsia="es-MX"/>
        </w:rPr>
        <w:t xml:space="preserve">José David </w:t>
      </w:r>
      <w:proofErr w:type="spellStart"/>
      <w:r w:rsidRPr="00BC5DA9">
        <w:rPr>
          <w:rFonts w:ascii="Century Gothic" w:eastAsia="Times New Roman" w:hAnsi="Century Gothic" w:cs="Segoe UI"/>
          <w:b/>
          <w:i/>
          <w:iCs/>
          <w:lang w:eastAsia="es-MX"/>
        </w:rPr>
        <w:t>Name</w:t>
      </w:r>
      <w:proofErr w:type="spellEnd"/>
      <w:r w:rsidRPr="00BC5DA9">
        <w:rPr>
          <w:rFonts w:ascii="Century Gothic" w:eastAsia="Times New Roman" w:hAnsi="Century Gothic" w:cs="Segoe UI"/>
          <w:b/>
          <w:i/>
          <w:iCs/>
          <w:lang w:eastAsia="es-MX"/>
        </w:rPr>
        <w:t xml:space="preserve"> Cardozo.</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Secretario General del honorable Senado de la República,</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right"/>
        <w:rPr>
          <w:rFonts w:ascii="Century Gothic" w:eastAsia="Times New Roman" w:hAnsi="Century Gothic" w:cs="Arial"/>
          <w:lang w:eastAsia="es-MX"/>
        </w:rPr>
      </w:pPr>
      <w:r w:rsidRPr="00BC5DA9">
        <w:rPr>
          <w:rFonts w:ascii="Century Gothic" w:eastAsia="Times New Roman" w:hAnsi="Century Gothic" w:cs="Segoe UI"/>
          <w:b/>
          <w:i/>
          <w:iCs/>
          <w:lang w:eastAsia="es-MX"/>
        </w:rPr>
        <w:t xml:space="preserve">Gregorio </w:t>
      </w:r>
      <w:proofErr w:type="spellStart"/>
      <w:r w:rsidRPr="00BC5DA9">
        <w:rPr>
          <w:rFonts w:ascii="Century Gothic" w:eastAsia="Times New Roman" w:hAnsi="Century Gothic" w:cs="Segoe UI"/>
          <w:b/>
          <w:i/>
          <w:iCs/>
          <w:lang w:eastAsia="es-MX"/>
        </w:rPr>
        <w:t>Eljach</w:t>
      </w:r>
      <w:proofErr w:type="spellEnd"/>
      <w:r w:rsidRPr="00BC5DA9">
        <w:rPr>
          <w:rFonts w:ascii="Century Gothic" w:eastAsia="Times New Roman" w:hAnsi="Century Gothic" w:cs="Segoe UI"/>
          <w:b/>
          <w:i/>
          <w:iCs/>
          <w:lang w:eastAsia="es-MX"/>
        </w:rPr>
        <w:t xml:space="preserve"> Pacheco</w:t>
      </w:r>
      <w:r w:rsidRPr="00BC5DA9">
        <w:rPr>
          <w:rFonts w:ascii="Century Gothic" w:eastAsia="Times New Roman" w:hAnsi="Century Gothic" w:cs="Segoe UI"/>
          <w:b/>
          <w:lang w:eastAsia="es-MX"/>
        </w:rPr>
        <w:t>.</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Presidente de la honorable Cámara de Representantes,</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iCs/>
          <w:lang w:eastAsia="es-MX"/>
        </w:rPr>
        <w:t xml:space="preserve">Fabio Raúl Amín </w:t>
      </w:r>
      <w:proofErr w:type="spellStart"/>
      <w:r w:rsidRPr="00BC5DA9">
        <w:rPr>
          <w:rFonts w:ascii="Century Gothic" w:eastAsia="Times New Roman" w:hAnsi="Century Gothic" w:cs="Segoe UI"/>
          <w:b/>
          <w:iCs/>
          <w:lang w:eastAsia="es-MX"/>
        </w:rPr>
        <w:t>Saleme</w:t>
      </w:r>
      <w:proofErr w:type="spellEnd"/>
      <w:r w:rsidRPr="00BC5DA9">
        <w:rPr>
          <w:rFonts w:ascii="Century Gothic" w:eastAsia="Times New Roman" w:hAnsi="Century Gothic" w:cs="Segoe UI"/>
          <w:b/>
          <w:lang w:eastAsia="es-MX"/>
        </w:rPr>
        <w:t>.</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Secretario General de la honorable Cámara de Representantes,</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iCs/>
          <w:lang w:eastAsia="es-MX"/>
        </w:rPr>
        <w:t>Jorge Humberto Mantilla Serrano</w:t>
      </w:r>
      <w:r w:rsidRPr="00BC5DA9">
        <w:rPr>
          <w:rFonts w:ascii="Century Gothic" w:eastAsia="Times New Roman" w:hAnsi="Century Gothic" w:cs="Segoe UI"/>
          <w:b/>
          <w:lang w:eastAsia="es-MX"/>
        </w:rPr>
        <w:t>.</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center"/>
        <w:rPr>
          <w:rFonts w:ascii="Century Gothic" w:eastAsia="Times New Roman" w:hAnsi="Century Gothic" w:cs="Arial"/>
          <w:lang w:eastAsia="es-MX"/>
        </w:rPr>
      </w:pPr>
      <w:r w:rsidRPr="00BC5DA9">
        <w:rPr>
          <w:rFonts w:ascii="Century Gothic" w:eastAsia="Times New Roman" w:hAnsi="Century Gothic" w:cs="Segoe UI"/>
          <w:b/>
          <w:lang w:eastAsia="es-MX"/>
        </w:rPr>
        <w:t>REPÚBLICA DE COLOMBIA – GOBIERNO NACIONAL</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Publíquese y ejecútese.</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Dada en Bogotá, D. C., a 9 de junio de 2015.</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lang w:eastAsia="es-MX"/>
        </w:rPr>
        <w:t>JUAN MANUEL SANTOS CALDERÓN</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2732EB">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Ministro de Hacienda y Crédito Público,</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b/>
          <w:iCs/>
          <w:lang w:eastAsia="es-MX"/>
        </w:rPr>
        <w:lastRenderedPageBreak/>
        <w:t>Mauricio Cárdenas Santamaría</w:t>
      </w:r>
      <w:r w:rsidRPr="00BC5DA9">
        <w:rPr>
          <w:rFonts w:ascii="Century Gothic" w:eastAsia="Times New Roman" w:hAnsi="Century Gothic" w:cs="Segoe UI"/>
          <w:b/>
          <w:lang w:eastAsia="es-MX"/>
        </w:rPr>
        <w:t>.</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 </w:t>
      </w:r>
    </w:p>
    <w:p w:rsidR="002732EB" w:rsidRPr="00BC5DA9" w:rsidRDefault="002732EB" w:rsidP="00BC5DA9">
      <w:pPr>
        <w:spacing w:after="0" w:line="240" w:lineRule="auto"/>
        <w:jc w:val="both"/>
        <w:rPr>
          <w:rFonts w:ascii="Century Gothic" w:eastAsia="Times New Roman" w:hAnsi="Century Gothic" w:cs="Arial"/>
          <w:lang w:eastAsia="es-MX"/>
        </w:rPr>
      </w:pPr>
      <w:r w:rsidRPr="00BC5DA9">
        <w:rPr>
          <w:rFonts w:ascii="Century Gothic" w:eastAsia="Times New Roman" w:hAnsi="Century Gothic" w:cs="Segoe UI"/>
          <w:lang w:eastAsia="es-MX"/>
        </w:rPr>
        <w:t>El Director del Departamento Nacional de Planeación,</w:t>
      </w:r>
    </w:p>
    <w:p w:rsidR="002732EB" w:rsidRPr="00BC5DA9" w:rsidRDefault="002732EB" w:rsidP="00BC5DA9">
      <w:pPr>
        <w:spacing w:after="0" w:line="240" w:lineRule="auto"/>
        <w:jc w:val="both"/>
        <w:rPr>
          <w:rFonts w:ascii="Century Gothic" w:eastAsia="Times New Roman" w:hAnsi="Century Gothic" w:cs="Times New Roman"/>
          <w:lang w:eastAsia="es-MX"/>
        </w:rPr>
      </w:pPr>
      <w:r w:rsidRPr="00BC5DA9">
        <w:rPr>
          <w:rFonts w:ascii="Century Gothic" w:eastAsia="Times New Roman" w:hAnsi="Century Gothic" w:cs="Segoe UI"/>
          <w:b/>
          <w:iCs/>
          <w:lang w:eastAsia="es-MX"/>
        </w:rPr>
        <w:t>Simón Gaviria Muñoz</w:t>
      </w:r>
      <w:r w:rsidRPr="00BC5DA9">
        <w:rPr>
          <w:rFonts w:ascii="Century Gothic" w:eastAsia="Times New Roman" w:hAnsi="Century Gothic" w:cs="Segoe UI"/>
          <w:b/>
          <w:lang w:eastAsia="es-MX"/>
        </w:rPr>
        <w:t>.</w:t>
      </w:r>
    </w:p>
    <w:p w:rsidR="00E12438" w:rsidRPr="00BC5DA9" w:rsidRDefault="00E12438" w:rsidP="00BC5DA9">
      <w:pPr>
        <w:jc w:val="both"/>
        <w:rPr>
          <w:rFonts w:ascii="Century Gothic" w:hAnsi="Century Gothic"/>
        </w:rPr>
      </w:pPr>
    </w:p>
    <w:sectPr w:rsidR="00E12438" w:rsidRPr="00BC5D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B"/>
    <w:rsid w:val="0009725D"/>
    <w:rsid w:val="002732EB"/>
    <w:rsid w:val="00BC5DA9"/>
    <w:rsid w:val="00E12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F3044-9646-4D75-8D6B-2722EAA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732EB"/>
    <w:pPr>
      <w:spacing w:after="285" w:line="240" w:lineRule="auto"/>
      <w:outlineLvl w:val="0"/>
    </w:pPr>
    <w:rPr>
      <w:rFonts w:ascii="Times New Roman" w:eastAsia="Times New Roman" w:hAnsi="Times New Roman" w:cs="Times New Roman"/>
      <w:b/>
      <w:bCs/>
      <w:kern w:val="36"/>
      <w:sz w:val="47"/>
      <w:szCs w:val="47"/>
      <w:lang w:eastAsia="es-MX"/>
    </w:rPr>
  </w:style>
  <w:style w:type="paragraph" w:styleId="Ttulo2">
    <w:name w:val="heading 2"/>
    <w:basedOn w:val="Normal"/>
    <w:link w:val="Ttulo2Car"/>
    <w:uiPriority w:val="9"/>
    <w:qFormat/>
    <w:rsid w:val="002732EB"/>
    <w:pPr>
      <w:spacing w:after="285"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732EB"/>
    <w:pPr>
      <w:spacing w:after="285"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2732EB"/>
    <w:pPr>
      <w:spacing w:after="285"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2732EB"/>
    <w:pPr>
      <w:spacing w:after="285"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2732EB"/>
    <w:pPr>
      <w:spacing w:after="285"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32EB"/>
    <w:rPr>
      <w:rFonts w:ascii="Times New Roman" w:eastAsia="Times New Roman" w:hAnsi="Times New Roman" w:cs="Times New Roman"/>
      <w:b/>
      <w:bCs/>
      <w:kern w:val="36"/>
      <w:sz w:val="47"/>
      <w:szCs w:val="47"/>
      <w:lang w:eastAsia="es-MX"/>
    </w:rPr>
  </w:style>
  <w:style w:type="character" w:customStyle="1" w:styleId="Ttulo2Car">
    <w:name w:val="Título 2 Car"/>
    <w:basedOn w:val="Fuentedeprrafopredeter"/>
    <w:link w:val="Ttulo2"/>
    <w:uiPriority w:val="9"/>
    <w:rsid w:val="002732E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732EB"/>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2732EB"/>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2732EB"/>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2732EB"/>
    <w:rPr>
      <w:rFonts w:ascii="Times New Roman" w:eastAsia="Times New Roman" w:hAnsi="Times New Roman" w:cs="Times New Roman"/>
      <w:b/>
      <w:bCs/>
      <w:sz w:val="15"/>
      <w:szCs w:val="15"/>
      <w:lang w:eastAsia="es-MX"/>
    </w:rPr>
  </w:style>
  <w:style w:type="character" w:styleId="Hipervnculo">
    <w:name w:val="Hyperlink"/>
    <w:basedOn w:val="Fuentedeprrafopredeter"/>
    <w:uiPriority w:val="99"/>
    <w:semiHidden/>
    <w:unhideWhenUsed/>
    <w:rsid w:val="002732EB"/>
    <w:rPr>
      <w:strike w:val="0"/>
      <w:dstrike w:val="0"/>
      <w:color w:val="0089E1"/>
      <w:u w:val="none"/>
      <w:effect w:val="none"/>
    </w:rPr>
  </w:style>
  <w:style w:type="character" w:styleId="Hipervnculovisitado">
    <w:name w:val="FollowedHyperlink"/>
    <w:basedOn w:val="Fuentedeprrafopredeter"/>
    <w:uiPriority w:val="99"/>
    <w:semiHidden/>
    <w:unhideWhenUsed/>
    <w:rsid w:val="002732EB"/>
    <w:rPr>
      <w:strike w:val="0"/>
      <w:dstrike w:val="0"/>
      <w:color w:val="0089E1"/>
      <w:u w:val="none"/>
      <w:effect w:val="none"/>
    </w:rPr>
  </w:style>
  <w:style w:type="paragraph" w:styleId="DireccinHTML">
    <w:name w:val="HTML Address"/>
    <w:basedOn w:val="Normal"/>
    <w:link w:val="DireccinHTMLCar"/>
    <w:uiPriority w:val="99"/>
    <w:semiHidden/>
    <w:unhideWhenUsed/>
    <w:rsid w:val="002732E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2732EB"/>
    <w:rPr>
      <w:rFonts w:ascii="Times New Roman" w:eastAsia="Times New Roman" w:hAnsi="Times New Roman" w:cs="Times New Roman"/>
      <w:i/>
      <w:iCs/>
      <w:sz w:val="24"/>
      <w:szCs w:val="24"/>
      <w:lang w:eastAsia="es-MX"/>
    </w:rPr>
  </w:style>
  <w:style w:type="paragraph" w:styleId="HTMLconformatoprevio">
    <w:name w:val="HTML Preformatted"/>
    <w:basedOn w:val="Normal"/>
    <w:link w:val="HTMLconformatoprevioCar"/>
    <w:uiPriority w:val="99"/>
    <w:semiHidden/>
    <w:unhideWhenUsed/>
    <w:rsid w:val="0027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732EB"/>
    <w:rPr>
      <w:rFonts w:ascii="Courier New" w:eastAsia="Times New Roman" w:hAnsi="Courier New" w:cs="Courier New"/>
      <w:sz w:val="20"/>
      <w:szCs w:val="20"/>
      <w:lang w:eastAsia="es-MX"/>
    </w:rPr>
  </w:style>
  <w:style w:type="paragraph" w:styleId="NormalWeb">
    <w:name w:val="Normal (Web)"/>
    <w:basedOn w:val="Normal"/>
    <w:uiPriority w:val="99"/>
    <w:semiHidden/>
    <w:unhideWhenUsed/>
    <w:rsid w:val="002732EB"/>
    <w:pPr>
      <w:spacing w:after="285" w:line="240" w:lineRule="auto"/>
    </w:pPr>
    <w:rPr>
      <w:rFonts w:ascii="Times New Roman" w:eastAsia="Times New Roman" w:hAnsi="Times New Roman" w:cs="Times New Roman"/>
      <w:sz w:val="24"/>
      <w:szCs w:val="24"/>
      <w:lang w:eastAsia="es-MX"/>
    </w:rPr>
  </w:style>
  <w:style w:type="paragraph" w:customStyle="1" w:styleId="highlight">
    <w:name w:val="highlight"/>
    <w:basedOn w:val="Normal"/>
    <w:rsid w:val="002732EB"/>
    <w:pPr>
      <w:shd w:val="clear" w:color="auto" w:fill="FFFF40"/>
      <w:spacing w:after="285" w:line="240" w:lineRule="auto"/>
    </w:pPr>
    <w:rPr>
      <w:rFonts w:ascii="Times New Roman" w:eastAsia="Times New Roman" w:hAnsi="Times New Roman" w:cs="Times New Roman"/>
      <w:sz w:val="24"/>
      <w:szCs w:val="24"/>
      <w:lang w:eastAsia="es-MX"/>
    </w:rPr>
  </w:style>
  <w:style w:type="paragraph" w:customStyle="1" w:styleId="cluetip-arrows">
    <w:name w:val="cluetip-arrows"/>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cluetip-default">
    <w:name w:val="cluetip-default"/>
    <w:basedOn w:val="Normal"/>
    <w:rsid w:val="002732EB"/>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MX"/>
    </w:rPr>
  </w:style>
  <w:style w:type="paragraph" w:customStyle="1" w:styleId="cluetip-jtip">
    <w:name w:val="cluetip-jtip"/>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cluetip-rounded">
    <w:name w:val="cluetip-rounded"/>
    <w:basedOn w:val="Normal"/>
    <w:rsid w:val="002732EB"/>
    <w:pPr>
      <w:spacing w:before="150" w:after="285" w:line="240" w:lineRule="auto"/>
      <w:ind w:left="180"/>
    </w:pPr>
    <w:rPr>
      <w:rFonts w:ascii="Times New Roman" w:eastAsia="Times New Roman" w:hAnsi="Times New Roman" w:cs="Times New Roman"/>
      <w:sz w:val="24"/>
      <w:szCs w:val="24"/>
      <w:lang w:eastAsia="es-MX"/>
    </w:rPr>
  </w:style>
  <w:style w:type="paragraph" w:customStyle="1" w:styleId="zoomacdropdown">
    <w:name w:val="zoom_ac_dropdown"/>
    <w:basedOn w:val="Normal"/>
    <w:rsid w:val="002732EB"/>
    <w:pPr>
      <w:pBdr>
        <w:top w:val="single" w:sz="6" w:space="0" w:color="000000"/>
        <w:left w:val="single" w:sz="6" w:space="0" w:color="000000"/>
        <w:bottom w:val="single" w:sz="6" w:space="0" w:color="000000"/>
        <w:right w:val="single" w:sz="6" w:space="0" w:color="000000"/>
      </w:pBdr>
      <w:shd w:val="clear" w:color="auto" w:fill="FFFFFF"/>
      <w:spacing w:after="285" w:line="240" w:lineRule="auto"/>
    </w:pPr>
    <w:rPr>
      <w:rFonts w:ascii="Tahoma" w:eastAsia="Times New Roman" w:hAnsi="Tahoma" w:cs="Tahoma"/>
      <w:sz w:val="20"/>
      <w:szCs w:val="20"/>
      <w:lang w:eastAsia="es-MX"/>
    </w:rPr>
  </w:style>
  <w:style w:type="paragraph" w:customStyle="1" w:styleId="zoomacitem">
    <w:name w:val="zoom_ac_item"/>
    <w:basedOn w:val="Normal"/>
    <w:rsid w:val="002732EB"/>
    <w:pPr>
      <w:spacing w:after="285" w:line="240" w:lineRule="auto"/>
    </w:pPr>
    <w:rPr>
      <w:rFonts w:ascii="Times New Roman" w:eastAsia="Times New Roman" w:hAnsi="Times New Roman" w:cs="Times New Roman"/>
      <w:color w:val="000000"/>
      <w:sz w:val="24"/>
      <w:szCs w:val="24"/>
      <w:lang w:eastAsia="es-MX"/>
    </w:rPr>
  </w:style>
  <w:style w:type="paragraph" w:customStyle="1" w:styleId="zoomacitemhl">
    <w:name w:val="zoom_ac_item_hl"/>
    <w:basedOn w:val="Normal"/>
    <w:rsid w:val="002732EB"/>
    <w:pPr>
      <w:shd w:val="clear" w:color="auto" w:fill="00DDDD"/>
      <w:spacing w:after="285" w:line="240" w:lineRule="auto"/>
    </w:pPr>
    <w:rPr>
      <w:rFonts w:ascii="Times New Roman" w:eastAsia="Times New Roman" w:hAnsi="Times New Roman" w:cs="Times New Roman"/>
      <w:color w:val="FFFFFF"/>
      <w:sz w:val="24"/>
      <w:szCs w:val="24"/>
      <w:lang w:eastAsia="es-MX"/>
    </w:rPr>
  </w:style>
  <w:style w:type="paragraph" w:customStyle="1" w:styleId="navbarul">
    <w:name w:val="navbar_ul"/>
    <w:basedOn w:val="Normal"/>
    <w:rsid w:val="002732EB"/>
    <w:pPr>
      <w:spacing w:after="0" w:line="240" w:lineRule="auto"/>
    </w:pPr>
    <w:rPr>
      <w:rFonts w:ascii="Times New Roman" w:eastAsia="Times New Roman" w:hAnsi="Times New Roman" w:cs="Times New Roman"/>
      <w:sz w:val="24"/>
      <w:szCs w:val="24"/>
      <w:lang w:eastAsia="es-MX"/>
    </w:rPr>
  </w:style>
  <w:style w:type="paragraph" w:customStyle="1" w:styleId="navbarli">
    <w:name w:val="navbar_li"/>
    <w:basedOn w:val="Normal"/>
    <w:rsid w:val="002732EB"/>
    <w:pPr>
      <w:spacing w:after="0" w:line="240" w:lineRule="auto"/>
    </w:pPr>
    <w:rPr>
      <w:rFonts w:ascii="Times New Roman" w:eastAsia="Times New Roman" w:hAnsi="Times New Roman" w:cs="Times New Roman"/>
      <w:sz w:val="24"/>
      <w:szCs w:val="24"/>
      <w:lang w:eastAsia="es-MX"/>
    </w:rPr>
  </w:style>
  <w:style w:type="paragraph" w:customStyle="1" w:styleId="navbara">
    <w:name w:val="navbar_a"/>
    <w:basedOn w:val="Normal"/>
    <w:rsid w:val="002732EB"/>
    <w:pPr>
      <w:spacing w:after="0" w:line="240" w:lineRule="auto"/>
    </w:pPr>
    <w:rPr>
      <w:rFonts w:ascii="Times New Roman" w:eastAsia="Times New Roman" w:hAnsi="Times New Roman" w:cs="Times New Roman"/>
      <w:sz w:val="24"/>
      <w:szCs w:val="24"/>
      <w:lang w:eastAsia="es-MX"/>
    </w:rPr>
  </w:style>
  <w:style w:type="paragraph" w:customStyle="1" w:styleId="nof-positioning">
    <w:name w:val="nof-positioning"/>
    <w:basedOn w:val="Normal"/>
    <w:rsid w:val="002732EB"/>
    <w:pPr>
      <w:spacing w:after="0" w:line="240" w:lineRule="auto"/>
    </w:pPr>
    <w:rPr>
      <w:rFonts w:ascii="inherit" w:eastAsia="Times New Roman" w:hAnsi="inherit" w:cs="Times New Roman"/>
      <w:sz w:val="24"/>
      <w:szCs w:val="24"/>
      <w:lang w:eastAsia="es-MX"/>
    </w:rPr>
  </w:style>
  <w:style w:type="paragraph" w:customStyle="1" w:styleId="nof-navpositioning">
    <w:name w:val="nof-navpositioning"/>
    <w:basedOn w:val="Normal"/>
    <w:rsid w:val="002732EB"/>
    <w:pPr>
      <w:spacing w:after="0" w:line="240" w:lineRule="auto"/>
    </w:pPr>
    <w:rPr>
      <w:rFonts w:ascii="Times New Roman" w:eastAsia="Times New Roman" w:hAnsi="Times New Roman" w:cs="Times New Roman"/>
      <w:sz w:val="24"/>
      <w:szCs w:val="24"/>
      <w:lang w:eastAsia="es-MX"/>
    </w:rPr>
  </w:style>
  <w:style w:type="paragraph" w:customStyle="1" w:styleId="nof-navbuttonanchor">
    <w:name w:val="nof-navbuttonanchor"/>
    <w:basedOn w:val="Normal"/>
    <w:rsid w:val="002732EB"/>
    <w:pPr>
      <w:spacing w:after="0" w:line="240" w:lineRule="auto"/>
    </w:pPr>
    <w:rPr>
      <w:rFonts w:ascii="Times New Roman" w:eastAsia="Times New Roman" w:hAnsi="Times New Roman" w:cs="Times New Roman"/>
      <w:sz w:val="24"/>
      <w:szCs w:val="24"/>
      <w:lang w:eastAsia="es-MX"/>
    </w:rPr>
  </w:style>
  <w:style w:type="paragraph" w:customStyle="1" w:styleId="nof-ajaxtemplatehide">
    <w:name w:val="nof-ajaxtemplatehide"/>
    <w:basedOn w:val="Normal"/>
    <w:rsid w:val="002732EB"/>
    <w:pPr>
      <w:shd w:val="clear" w:color="auto" w:fill="FFFFFF"/>
      <w:spacing w:after="285" w:line="240" w:lineRule="auto"/>
    </w:pPr>
    <w:rPr>
      <w:rFonts w:ascii="Times New Roman" w:eastAsia="Times New Roman" w:hAnsi="Times New Roman" w:cs="Times New Roman"/>
      <w:color w:val="FFFFFF"/>
      <w:sz w:val="24"/>
      <w:szCs w:val="24"/>
      <w:lang w:eastAsia="es-MX"/>
    </w:rPr>
  </w:style>
  <w:style w:type="paragraph" w:customStyle="1" w:styleId="nof-align-top">
    <w:name w:val="nof-align-top"/>
    <w:basedOn w:val="Normal"/>
    <w:rsid w:val="002732EB"/>
    <w:pPr>
      <w:spacing w:after="285" w:line="240" w:lineRule="auto"/>
      <w:textAlignment w:val="top"/>
    </w:pPr>
    <w:rPr>
      <w:rFonts w:ascii="Times New Roman" w:eastAsia="Times New Roman" w:hAnsi="Times New Roman" w:cs="Times New Roman"/>
      <w:sz w:val="24"/>
      <w:szCs w:val="24"/>
      <w:lang w:eastAsia="es-MX"/>
    </w:rPr>
  </w:style>
  <w:style w:type="paragraph" w:customStyle="1" w:styleId="nof-align-middle">
    <w:name w:val="nof-align-middle"/>
    <w:basedOn w:val="Normal"/>
    <w:rsid w:val="002732EB"/>
    <w:pPr>
      <w:spacing w:after="285" w:line="240" w:lineRule="auto"/>
      <w:textAlignment w:val="center"/>
    </w:pPr>
    <w:rPr>
      <w:rFonts w:ascii="Times New Roman" w:eastAsia="Times New Roman" w:hAnsi="Times New Roman" w:cs="Times New Roman"/>
      <w:sz w:val="24"/>
      <w:szCs w:val="24"/>
      <w:lang w:eastAsia="es-MX"/>
    </w:rPr>
  </w:style>
  <w:style w:type="paragraph" w:customStyle="1" w:styleId="nof-align-bottom">
    <w:name w:val="nof-align-bottom"/>
    <w:basedOn w:val="Normal"/>
    <w:rsid w:val="002732EB"/>
    <w:pPr>
      <w:spacing w:after="285" w:line="240" w:lineRule="auto"/>
      <w:textAlignment w:val="bottom"/>
    </w:pPr>
    <w:rPr>
      <w:rFonts w:ascii="Times New Roman" w:eastAsia="Times New Roman" w:hAnsi="Times New Roman" w:cs="Times New Roman"/>
      <w:sz w:val="24"/>
      <w:szCs w:val="24"/>
      <w:lang w:eastAsia="es-MX"/>
    </w:rPr>
  </w:style>
  <w:style w:type="paragraph" w:customStyle="1" w:styleId="nof-block-left">
    <w:name w:val="nof-block-left"/>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nof-block-center">
    <w:name w:val="nof-block-center"/>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nof-block-right">
    <w:name w:val="nof-block-right"/>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entidadess">
    <w:name w:val="entidadess"/>
    <w:basedOn w:val="Normal"/>
    <w:rsid w:val="002732EB"/>
    <w:pPr>
      <w:spacing w:after="285" w:line="240" w:lineRule="auto"/>
    </w:pPr>
    <w:rPr>
      <w:rFonts w:ascii="Times New Roman" w:eastAsia="Times New Roman" w:hAnsi="Times New Roman" w:cs="Times New Roman"/>
      <w:b/>
      <w:bCs/>
      <w:color w:val="00BF00"/>
      <w:sz w:val="24"/>
      <w:szCs w:val="24"/>
      <w:lang w:eastAsia="es-MX"/>
    </w:rPr>
  </w:style>
  <w:style w:type="paragraph" w:customStyle="1" w:styleId="t21">
    <w:name w:val="t21"/>
    <w:basedOn w:val="Normal"/>
    <w:rsid w:val="002732EB"/>
    <w:pPr>
      <w:spacing w:after="285" w:line="240" w:lineRule="auto"/>
    </w:pPr>
    <w:rPr>
      <w:rFonts w:ascii="Segoe UI" w:eastAsia="Times New Roman" w:hAnsi="Segoe UI" w:cs="Segoe UI"/>
      <w:sz w:val="32"/>
      <w:szCs w:val="32"/>
      <w:lang w:eastAsia="es-MX"/>
    </w:rPr>
  </w:style>
  <w:style w:type="paragraph" w:customStyle="1" w:styleId="menuopcion">
    <w:name w:val="menuopcion"/>
    <w:basedOn w:val="Normal"/>
    <w:rsid w:val="002732EB"/>
    <w:pPr>
      <w:spacing w:after="285" w:line="240" w:lineRule="auto"/>
    </w:pPr>
    <w:rPr>
      <w:rFonts w:ascii="Segoe UI" w:eastAsia="Times New Roman" w:hAnsi="Segoe UI" w:cs="Segoe UI"/>
      <w:color w:val="000000"/>
      <w:sz w:val="18"/>
      <w:szCs w:val="18"/>
      <w:lang w:eastAsia="es-MX"/>
    </w:rPr>
  </w:style>
  <w:style w:type="paragraph" w:customStyle="1" w:styleId="textomenu">
    <w:name w:val="textomenu"/>
    <w:basedOn w:val="Normal"/>
    <w:rsid w:val="002732EB"/>
    <w:pPr>
      <w:spacing w:after="285" w:line="240" w:lineRule="auto"/>
    </w:pPr>
    <w:rPr>
      <w:rFonts w:ascii="Segoe UI" w:eastAsia="Times New Roman" w:hAnsi="Segoe UI" w:cs="Segoe UI"/>
      <w:color w:val="000000"/>
      <w:sz w:val="17"/>
      <w:szCs w:val="17"/>
      <w:lang w:eastAsia="es-MX"/>
    </w:rPr>
  </w:style>
  <w:style w:type="paragraph" w:customStyle="1" w:styleId="t32">
    <w:name w:val="t32"/>
    <w:basedOn w:val="Normal"/>
    <w:rsid w:val="002732EB"/>
    <w:pPr>
      <w:spacing w:after="285" w:line="240" w:lineRule="auto"/>
    </w:pPr>
    <w:rPr>
      <w:rFonts w:ascii="Segoe UI" w:eastAsia="Times New Roman" w:hAnsi="Segoe UI" w:cs="Segoe UI"/>
      <w:sz w:val="48"/>
      <w:szCs w:val="48"/>
      <w:lang w:eastAsia="es-MX"/>
    </w:rPr>
  </w:style>
  <w:style w:type="paragraph" w:customStyle="1" w:styleId="textocetadia">
    <w:name w:val="textocetadia"/>
    <w:basedOn w:val="Normal"/>
    <w:rsid w:val="002732EB"/>
    <w:pPr>
      <w:spacing w:after="285" w:line="240" w:lineRule="auto"/>
    </w:pPr>
    <w:rPr>
      <w:rFonts w:ascii="Segoe UI" w:eastAsia="Times New Roman" w:hAnsi="Segoe UI" w:cs="Segoe UI"/>
      <w:color w:val="4D4D4D"/>
      <w:sz w:val="21"/>
      <w:szCs w:val="21"/>
      <w:lang w:eastAsia="es-MX"/>
    </w:rPr>
  </w:style>
  <w:style w:type="paragraph" w:customStyle="1" w:styleId="enlacesinazulsub">
    <w:name w:val="enlacesinazulsub"/>
    <w:basedOn w:val="Normal"/>
    <w:rsid w:val="002732EB"/>
    <w:pPr>
      <w:spacing w:after="285" w:line="240" w:lineRule="auto"/>
    </w:pPr>
    <w:rPr>
      <w:rFonts w:ascii="Times New Roman" w:eastAsia="Times New Roman" w:hAnsi="Times New Roman" w:cs="Times New Roman"/>
      <w:color w:val="000000"/>
      <w:sz w:val="24"/>
      <w:szCs w:val="24"/>
      <w:lang w:eastAsia="es-MX"/>
    </w:rPr>
  </w:style>
  <w:style w:type="paragraph" w:customStyle="1" w:styleId="linksimple">
    <w:name w:val="linksimple"/>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mfr">
    <w:name w:val="mfr"/>
    <w:basedOn w:val="Normal"/>
    <w:rsid w:val="002732EB"/>
    <w:pPr>
      <w:spacing w:after="285" w:line="240" w:lineRule="auto"/>
    </w:pPr>
    <w:rPr>
      <w:rFonts w:ascii="Segoe UI" w:eastAsia="Times New Roman" w:hAnsi="Segoe UI" w:cs="Segoe UI"/>
      <w:sz w:val="17"/>
      <w:szCs w:val="17"/>
      <w:lang w:eastAsia="es-MX"/>
    </w:rPr>
  </w:style>
  <w:style w:type="paragraph" w:customStyle="1" w:styleId="textocetaarial">
    <w:name w:val="textocetaarial"/>
    <w:basedOn w:val="Normal"/>
    <w:rsid w:val="002732EB"/>
    <w:pPr>
      <w:spacing w:after="285" w:line="240" w:lineRule="auto"/>
    </w:pPr>
    <w:rPr>
      <w:rFonts w:ascii="Arial" w:eastAsia="Times New Roman" w:hAnsi="Arial" w:cs="Arial"/>
      <w:sz w:val="18"/>
      <w:szCs w:val="18"/>
      <w:lang w:eastAsia="es-MX"/>
    </w:rPr>
  </w:style>
  <w:style w:type="paragraph" w:customStyle="1" w:styleId="t22">
    <w:name w:val="t22"/>
    <w:basedOn w:val="Normal"/>
    <w:rsid w:val="002732EB"/>
    <w:pPr>
      <w:spacing w:after="285" w:line="240" w:lineRule="auto"/>
    </w:pPr>
    <w:rPr>
      <w:rFonts w:ascii="Segoe UI" w:eastAsia="Times New Roman" w:hAnsi="Segoe UI" w:cs="Segoe UI"/>
      <w:sz w:val="33"/>
      <w:szCs w:val="33"/>
      <w:lang w:eastAsia="es-MX"/>
    </w:rPr>
  </w:style>
  <w:style w:type="paragraph" w:customStyle="1" w:styleId="titulocetagrande">
    <w:name w:val="titulocetagrande"/>
    <w:basedOn w:val="Normal"/>
    <w:rsid w:val="002732EB"/>
    <w:pPr>
      <w:spacing w:after="285" w:line="240" w:lineRule="auto"/>
    </w:pPr>
    <w:rPr>
      <w:rFonts w:ascii="Segoe UI" w:eastAsia="Times New Roman" w:hAnsi="Segoe UI" w:cs="Segoe UI"/>
      <w:b/>
      <w:bCs/>
      <w:sz w:val="27"/>
      <w:szCs w:val="27"/>
      <w:lang w:eastAsia="es-MX"/>
    </w:rPr>
  </w:style>
  <w:style w:type="paragraph" w:customStyle="1" w:styleId="tabb">
    <w:name w:val="tabb"/>
    <w:basedOn w:val="Normal"/>
    <w:rsid w:val="002732EB"/>
    <w:pPr>
      <w:spacing w:after="285" w:line="240" w:lineRule="auto"/>
      <w:jc w:val="center"/>
    </w:pPr>
    <w:rPr>
      <w:rFonts w:ascii="Segoe UI" w:eastAsia="Times New Roman" w:hAnsi="Segoe UI" w:cs="Segoe UI"/>
      <w:b/>
      <w:bCs/>
      <w:color w:val="ECEDEE"/>
      <w:sz w:val="21"/>
      <w:szCs w:val="21"/>
      <w:lang w:eastAsia="es-MX"/>
    </w:rPr>
  </w:style>
  <w:style w:type="paragraph" w:customStyle="1" w:styleId="introlema">
    <w:name w:val="introlema"/>
    <w:basedOn w:val="Normal"/>
    <w:rsid w:val="002732EB"/>
    <w:pPr>
      <w:spacing w:after="285" w:line="240" w:lineRule="auto"/>
    </w:pPr>
    <w:rPr>
      <w:rFonts w:ascii="Segoe UI" w:eastAsia="Times New Roman" w:hAnsi="Segoe UI" w:cs="Segoe UI"/>
      <w:sz w:val="17"/>
      <w:szCs w:val="17"/>
      <w:lang w:eastAsia="es-MX"/>
    </w:rPr>
  </w:style>
  <w:style w:type="paragraph" w:customStyle="1" w:styleId="subtabb">
    <w:name w:val="subtabb"/>
    <w:basedOn w:val="Normal"/>
    <w:rsid w:val="002732EB"/>
    <w:pPr>
      <w:spacing w:after="285" w:line="240" w:lineRule="auto"/>
      <w:jc w:val="center"/>
    </w:pPr>
    <w:rPr>
      <w:rFonts w:ascii="Segoe UI" w:eastAsia="Times New Roman" w:hAnsi="Segoe UI" w:cs="Segoe UI"/>
      <w:color w:val="99CCFF"/>
      <w:sz w:val="23"/>
      <w:szCs w:val="23"/>
      <w:lang w:eastAsia="es-MX"/>
    </w:rPr>
  </w:style>
  <w:style w:type="paragraph" w:customStyle="1" w:styleId="t18">
    <w:name w:val="t18"/>
    <w:basedOn w:val="Normal"/>
    <w:rsid w:val="002732EB"/>
    <w:pPr>
      <w:spacing w:after="285" w:line="240" w:lineRule="auto"/>
    </w:pPr>
    <w:rPr>
      <w:rFonts w:ascii="Segoe UI" w:eastAsia="Times New Roman" w:hAnsi="Segoe UI" w:cs="Segoe UI"/>
      <w:sz w:val="27"/>
      <w:szCs w:val="27"/>
      <w:lang w:eastAsia="es-MX"/>
    </w:rPr>
  </w:style>
  <w:style w:type="paragraph" w:customStyle="1" w:styleId="fondoazul">
    <w:name w:val="fondoazul"/>
    <w:basedOn w:val="Normal"/>
    <w:rsid w:val="002732EB"/>
    <w:pPr>
      <w:shd w:val="clear" w:color="auto" w:fill="003399"/>
      <w:spacing w:after="285" w:line="240" w:lineRule="auto"/>
    </w:pPr>
    <w:rPr>
      <w:rFonts w:ascii="Times New Roman" w:eastAsia="Times New Roman" w:hAnsi="Times New Roman" w:cs="Times New Roman"/>
      <w:b/>
      <w:bCs/>
      <w:color w:val="FFFFFF"/>
      <w:sz w:val="24"/>
      <w:szCs w:val="24"/>
      <w:lang w:eastAsia="es-MX"/>
    </w:rPr>
  </w:style>
  <w:style w:type="paragraph" w:customStyle="1" w:styleId="txtcetatah">
    <w:name w:val="txtcetatah"/>
    <w:basedOn w:val="Normal"/>
    <w:rsid w:val="002732EB"/>
    <w:pPr>
      <w:spacing w:after="285" w:line="240" w:lineRule="auto"/>
    </w:pPr>
    <w:rPr>
      <w:rFonts w:ascii="Segoe UI" w:eastAsia="Times New Roman" w:hAnsi="Segoe UI" w:cs="Segoe UI"/>
      <w:sz w:val="17"/>
      <w:szCs w:val="17"/>
      <w:lang w:eastAsia="es-MX"/>
    </w:rPr>
  </w:style>
  <w:style w:type="paragraph" w:customStyle="1" w:styleId="textomenu2">
    <w:name w:val="textomenu2"/>
    <w:basedOn w:val="Normal"/>
    <w:rsid w:val="002732EB"/>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MX"/>
    </w:rPr>
  </w:style>
  <w:style w:type="paragraph" w:customStyle="1" w:styleId="tab2">
    <w:name w:val="tab2"/>
    <w:basedOn w:val="Normal"/>
    <w:rsid w:val="002732EB"/>
    <w:pPr>
      <w:spacing w:after="285" w:line="240" w:lineRule="auto"/>
      <w:jc w:val="center"/>
    </w:pPr>
    <w:rPr>
      <w:rFonts w:ascii="Segoe UI" w:eastAsia="Times New Roman" w:hAnsi="Segoe UI" w:cs="Segoe UI"/>
      <w:b/>
      <w:bCs/>
      <w:color w:val="ECEDEE"/>
      <w:sz w:val="21"/>
      <w:szCs w:val="21"/>
      <w:lang w:eastAsia="es-MX"/>
    </w:rPr>
  </w:style>
  <w:style w:type="paragraph" w:customStyle="1" w:styleId="enlacesmainh">
    <w:name w:val="enlacesmainh"/>
    <w:basedOn w:val="Normal"/>
    <w:rsid w:val="002732EB"/>
    <w:pPr>
      <w:shd w:val="clear" w:color="auto" w:fill="6CBD47"/>
      <w:spacing w:after="285" w:line="240" w:lineRule="auto"/>
    </w:pPr>
    <w:rPr>
      <w:rFonts w:ascii="Times New Roman" w:eastAsia="Times New Roman" w:hAnsi="Times New Roman" w:cs="Times New Roman"/>
      <w:sz w:val="24"/>
      <w:szCs w:val="24"/>
      <w:lang w:eastAsia="es-MX"/>
    </w:rPr>
  </w:style>
  <w:style w:type="paragraph" w:customStyle="1" w:styleId="busquedarapida">
    <w:name w:val="busquedarapida"/>
    <w:basedOn w:val="Normal"/>
    <w:rsid w:val="002732EB"/>
    <w:pPr>
      <w:spacing w:after="285" w:line="240" w:lineRule="auto"/>
    </w:pPr>
    <w:rPr>
      <w:rFonts w:ascii="Segoe UI" w:eastAsia="Times New Roman" w:hAnsi="Segoe UI" w:cs="Segoe UI"/>
      <w:sz w:val="20"/>
      <w:szCs w:val="20"/>
      <w:lang w:eastAsia="es-MX"/>
    </w:rPr>
  </w:style>
  <w:style w:type="paragraph" w:customStyle="1" w:styleId="taba">
    <w:name w:val="taba"/>
    <w:basedOn w:val="Normal"/>
    <w:rsid w:val="002732EB"/>
    <w:pPr>
      <w:spacing w:after="285" w:line="240" w:lineRule="auto"/>
      <w:jc w:val="center"/>
    </w:pPr>
    <w:rPr>
      <w:rFonts w:ascii="Segoe UI" w:eastAsia="Times New Roman" w:hAnsi="Segoe UI" w:cs="Segoe UI"/>
      <w:b/>
      <w:bCs/>
      <w:color w:val="FFFFFF"/>
      <w:sz w:val="21"/>
      <w:szCs w:val="21"/>
      <w:lang w:eastAsia="es-MX"/>
    </w:rPr>
  </w:style>
  <w:style w:type="paragraph" w:customStyle="1" w:styleId="enlaceframe">
    <w:name w:val="enlaceframe"/>
    <w:basedOn w:val="Normal"/>
    <w:rsid w:val="002732EB"/>
    <w:pPr>
      <w:spacing w:before="45" w:after="45" w:line="240" w:lineRule="auto"/>
      <w:ind w:left="45" w:right="45"/>
    </w:pPr>
    <w:rPr>
      <w:rFonts w:ascii="Times New Roman" w:eastAsia="Times New Roman" w:hAnsi="Times New Roman" w:cs="Times New Roman"/>
      <w:sz w:val="24"/>
      <w:szCs w:val="24"/>
      <w:lang w:eastAsia="es-MX"/>
    </w:rPr>
  </w:style>
  <w:style w:type="paragraph" w:customStyle="1" w:styleId="titulosceta">
    <w:name w:val="titulosceta"/>
    <w:basedOn w:val="Normal"/>
    <w:rsid w:val="002732EB"/>
    <w:pPr>
      <w:spacing w:after="285" w:line="240" w:lineRule="auto"/>
    </w:pPr>
    <w:rPr>
      <w:rFonts w:ascii="Segoe UI" w:eastAsia="Times New Roman" w:hAnsi="Segoe UI" w:cs="Segoe UI"/>
      <w:b/>
      <w:bCs/>
      <w:sz w:val="21"/>
      <w:szCs w:val="21"/>
      <w:lang w:eastAsia="es-MX"/>
    </w:rPr>
  </w:style>
  <w:style w:type="paragraph" w:customStyle="1" w:styleId="subtaba">
    <w:name w:val="subtaba"/>
    <w:basedOn w:val="Normal"/>
    <w:rsid w:val="002732EB"/>
    <w:pPr>
      <w:spacing w:after="285" w:line="240" w:lineRule="auto"/>
      <w:jc w:val="center"/>
    </w:pPr>
    <w:rPr>
      <w:rFonts w:ascii="Segoe UI" w:eastAsia="Times New Roman" w:hAnsi="Segoe UI" w:cs="Segoe UI"/>
      <w:b/>
      <w:bCs/>
      <w:color w:val="C8C8C8"/>
      <w:sz w:val="20"/>
      <w:szCs w:val="20"/>
      <w:lang w:eastAsia="es-MX"/>
    </w:rPr>
  </w:style>
  <w:style w:type="paragraph" w:customStyle="1" w:styleId="campoformulario">
    <w:name w:val="campoformulario"/>
    <w:basedOn w:val="Normal"/>
    <w:rsid w:val="002732EB"/>
    <w:pPr>
      <w:shd w:val="clear" w:color="auto" w:fill="EBEBEB"/>
      <w:spacing w:after="285" w:line="240" w:lineRule="auto"/>
    </w:pPr>
    <w:rPr>
      <w:rFonts w:ascii="Times New Roman" w:eastAsia="Times New Roman" w:hAnsi="Times New Roman" w:cs="Times New Roman"/>
      <w:b/>
      <w:bCs/>
      <w:caps/>
      <w:sz w:val="17"/>
      <w:szCs w:val="17"/>
      <w:lang w:eastAsia="es-MX"/>
    </w:rPr>
  </w:style>
  <w:style w:type="paragraph" w:customStyle="1" w:styleId="etmuns">
    <w:name w:val="etmuns"/>
    <w:basedOn w:val="Normal"/>
    <w:rsid w:val="002732EB"/>
    <w:pPr>
      <w:spacing w:after="285" w:line="240" w:lineRule="auto"/>
    </w:pPr>
    <w:rPr>
      <w:rFonts w:ascii="Times New Roman" w:eastAsia="Times New Roman" w:hAnsi="Times New Roman" w:cs="Times New Roman"/>
      <w:b/>
      <w:bCs/>
      <w:color w:val="00BF00"/>
      <w:sz w:val="24"/>
      <w:szCs w:val="24"/>
      <w:lang w:eastAsia="es-MX"/>
    </w:rPr>
  </w:style>
  <w:style w:type="paragraph" w:customStyle="1" w:styleId="t42">
    <w:name w:val="t42"/>
    <w:basedOn w:val="Normal"/>
    <w:rsid w:val="002732EB"/>
    <w:pPr>
      <w:spacing w:after="285" w:line="240" w:lineRule="auto"/>
    </w:pPr>
    <w:rPr>
      <w:rFonts w:ascii="Segoe UI" w:eastAsia="Times New Roman" w:hAnsi="Segoe UI" w:cs="Segoe UI"/>
      <w:sz w:val="48"/>
      <w:szCs w:val="48"/>
      <w:lang w:eastAsia="es-MX"/>
    </w:rPr>
  </w:style>
  <w:style w:type="paragraph" w:customStyle="1" w:styleId="mop">
    <w:name w:val="mop"/>
    <w:basedOn w:val="Normal"/>
    <w:rsid w:val="002732EB"/>
    <w:pPr>
      <w:spacing w:after="285" w:line="240" w:lineRule="auto"/>
    </w:pPr>
    <w:rPr>
      <w:rFonts w:ascii="Times New Roman" w:eastAsia="Times New Roman" w:hAnsi="Times New Roman" w:cs="Times New Roman"/>
      <w:color w:val="EEEEEE"/>
      <w:sz w:val="24"/>
      <w:szCs w:val="24"/>
      <w:lang w:eastAsia="es-MX"/>
    </w:rPr>
  </w:style>
  <w:style w:type="paragraph" w:customStyle="1" w:styleId="t14">
    <w:name w:val="t14"/>
    <w:basedOn w:val="Normal"/>
    <w:rsid w:val="002732EB"/>
    <w:pPr>
      <w:spacing w:after="285" w:line="240" w:lineRule="auto"/>
    </w:pPr>
    <w:rPr>
      <w:rFonts w:ascii="Segoe UI" w:eastAsia="Times New Roman" w:hAnsi="Segoe UI" w:cs="Segoe UI"/>
      <w:sz w:val="21"/>
      <w:szCs w:val="21"/>
      <w:lang w:eastAsia="es-MX"/>
    </w:rPr>
  </w:style>
  <w:style w:type="paragraph" w:customStyle="1" w:styleId="tab1">
    <w:name w:val="tab1"/>
    <w:basedOn w:val="Normal"/>
    <w:rsid w:val="002732EB"/>
    <w:pPr>
      <w:spacing w:after="285" w:line="240" w:lineRule="auto"/>
      <w:jc w:val="center"/>
    </w:pPr>
    <w:rPr>
      <w:rFonts w:ascii="Segoe UI" w:eastAsia="Times New Roman" w:hAnsi="Segoe UI" w:cs="Segoe UI"/>
      <w:b/>
      <w:bCs/>
      <w:color w:val="FFFFFF"/>
      <w:sz w:val="21"/>
      <w:szCs w:val="21"/>
      <w:lang w:eastAsia="es-MX"/>
    </w:rPr>
  </w:style>
  <w:style w:type="paragraph" w:customStyle="1" w:styleId="enlacenew">
    <w:name w:val="enlacenew"/>
    <w:basedOn w:val="Normal"/>
    <w:rsid w:val="002732EB"/>
    <w:pPr>
      <w:spacing w:after="285" w:line="240" w:lineRule="auto"/>
    </w:pPr>
    <w:rPr>
      <w:rFonts w:ascii="Arial" w:eastAsia="Times New Roman" w:hAnsi="Arial" w:cs="Arial"/>
      <w:color w:val="000000"/>
      <w:sz w:val="21"/>
      <w:szCs w:val="21"/>
      <w:lang w:eastAsia="es-MX"/>
    </w:rPr>
  </w:style>
  <w:style w:type="paragraph" w:customStyle="1" w:styleId="menuceta">
    <w:name w:val="menuceta"/>
    <w:basedOn w:val="Normal"/>
    <w:rsid w:val="002732EB"/>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MX"/>
    </w:rPr>
  </w:style>
  <w:style w:type="paragraph" w:customStyle="1" w:styleId="chiquitaceta">
    <w:name w:val="chiquitaceta"/>
    <w:basedOn w:val="Normal"/>
    <w:rsid w:val="002732EB"/>
    <w:pPr>
      <w:spacing w:after="285" w:line="240" w:lineRule="auto"/>
    </w:pPr>
    <w:rPr>
      <w:rFonts w:ascii="Segoe UI" w:eastAsia="Times New Roman" w:hAnsi="Segoe UI" w:cs="Segoe UI"/>
      <w:sz w:val="15"/>
      <w:szCs w:val="15"/>
      <w:lang w:eastAsia="es-MX"/>
    </w:rPr>
  </w:style>
  <w:style w:type="paragraph" w:customStyle="1" w:styleId="t15">
    <w:name w:val="t15"/>
    <w:basedOn w:val="Normal"/>
    <w:rsid w:val="002732EB"/>
    <w:pPr>
      <w:spacing w:after="285" w:line="240" w:lineRule="auto"/>
    </w:pPr>
    <w:rPr>
      <w:rFonts w:ascii="Segoe UI" w:eastAsia="Times New Roman" w:hAnsi="Segoe UI" w:cs="Segoe UI"/>
      <w:sz w:val="23"/>
      <w:szCs w:val="23"/>
      <w:lang w:eastAsia="es-MX"/>
    </w:rPr>
  </w:style>
  <w:style w:type="paragraph" w:customStyle="1" w:styleId="introtit">
    <w:name w:val="introtit"/>
    <w:basedOn w:val="Normal"/>
    <w:rsid w:val="002732EB"/>
    <w:pPr>
      <w:spacing w:after="285" w:line="240" w:lineRule="auto"/>
    </w:pPr>
    <w:rPr>
      <w:rFonts w:ascii="Segoe UI" w:eastAsia="Times New Roman" w:hAnsi="Segoe UI" w:cs="Segoe UI"/>
      <w:b/>
      <w:bCs/>
      <w:sz w:val="36"/>
      <w:szCs w:val="36"/>
      <w:lang w:eastAsia="es-MX"/>
    </w:rPr>
  </w:style>
  <w:style w:type="paragraph" w:customStyle="1" w:styleId="otrotitulo2">
    <w:name w:val="otrotitulo2"/>
    <w:basedOn w:val="Normal"/>
    <w:rsid w:val="002732EB"/>
    <w:pPr>
      <w:spacing w:after="285" w:line="240" w:lineRule="auto"/>
    </w:pPr>
    <w:rPr>
      <w:rFonts w:ascii="Segoe UI" w:eastAsia="Times New Roman" w:hAnsi="Segoe UI" w:cs="Segoe UI"/>
      <w:sz w:val="27"/>
      <w:szCs w:val="27"/>
      <w:lang w:eastAsia="es-MX"/>
    </w:rPr>
  </w:style>
  <w:style w:type="paragraph" w:customStyle="1" w:styleId="mtt">
    <w:name w:val="mtt"/>
    <w:basedOn w:val="Normal"/>
    <w:rsid w:val="002732EB"/>
    <w:pPr>
      <w:shd w:val="clear" w:color="auto" w:fill="ECE6D3"/>
      <w:spacing w:after="285" w:line="240" w:lineRule="auto"/>
    </w:pPr>
    <w:rPr>
      <w:rFonts w:ascii="Segoe UI" w:eastAsia="Times New Roman" w:hAnsi="Segoe UI" w:cs="Segoe UI"/>
      <w:b/>
      <w:bCs/>
      <w:sz w:val="17"/>
      <w:szCs w:val="17"/>
      <w:lang w:eastAsia="es-MX"/>
    </w:rPr>
  </w:style>
  <w:style w:type="paragraph" w:customStyle="1" w:styleId="otrotitulo">
    <w:name w:val="otrotitulo"/>
    <w:basedOn w:val="Normal"/>
    <w:rsid w:val="002732EB"/>
    <w:pPr>
      <w:spacing w:after="285" w:line="240" w:lineRule="auto"/>
    </w:pPr>
    <w:rPr>
      <w:rFonts w:ascii="Arial" w:eastAsia="Times New Roman" w:hAnsi="Arial" w:cs="Arial"/>
      <w:b/>
      <w:bCs/>
      <w:sz w:val="27"/>
      <w:szCs w:val="27"/>
      <w:lang w:eastAsia="es-MX"/>
    </w:rPr>
  </w:style>
  <w:style w:type="paragraph" w:customStyle="1" w:styleId="enlacesmains">
    <w:name w:val="enlacesmains"/>
    <w:basedOn w:val="Normal"/>
    <w:rsid w:val="002732EB"/>
    <w:pPr>
      <w:shd w:val="clear" w:color="auto" w:fill="0074B3"/>
      <w:spacing w:after="285" w:line="240" w:lineRule="auto"/>
    </w:pPr>
    <w:rPr>
      <w:rFonts w:ascii="Times New Roman" w:eastAsia="Times New Roman" w:hAnsi="Times New Roman" w:cs="Times New Roman"/>
      <w:sz w:val="24"/>
      <w:szCs w:val="24"/>
      <w:lang w:eastAsia="es-MX"/>
    </w:rPr>
  </w:style>
  <w:style w:type="paragraph" w:customStyle="1" w:styleId="t16">
    <w:name w:val="t16"/>
    <w:basedOn w:val="Normal"/>
    <w:rsid w:val="002732EB"/>
    <w:pPr>
      <w:spacing w:after="285" w:line="240" w:lineRule="auto"/>
    </w:pPr>
    <w:rPr>
      <w:rFonts w:ascii="Segoe UI" w:eastAsia="Times New Roman" w:hAnsi="Segoe UI" w:cs="Segoe UI"/>
      <w:sz w:val="24"/>
      <w:szCs w:val="24"/>
      <w:lang w:eastAsia="es-MX"/>
    </w:rPr>
  </w:style>
  <w:style w:type="paragraph" w:customStyle="1" w:styleId="documentoceta">
    <w:name w:val="documentoceta"/>
    <w:basedOn w:val="Normal"/>
    <w:rsid w:val="002732EB"/>
    <w:pPr>
      <w:spacing w:after="285" w:line="240" w:lineRule="auto"/>
      <w:jc w:val="both"/>
    </w:pPr>
    <w:rPr>
      <w:rFonts w:ascii="Arial" w:eastAsia="Times New Roman" w:hAnsi="Arial" w:cs="Arial"/>
      <w:sz w:val="18"/>
      <w:szCs w:val="18"/>
      <w:lang w:eastAsia="es-MX"/>
    </w:rPr>
  </w:style>
  <w:style w:type="paragraph" w:customStyle="1" w:styleId="titulos2ceta">
    <w:name w:val="titulos2ceta"/>
    <w:basedOn w:val="Normal"/>
    <w:rsid w:val="002732EB"/>
    <w:pPr>
      <w:spacing w:after="285" w:line="240" w:lineRule="auto"/>
    </w:pPr>
    <w:rPr>
      <w:rFonts w:ascii="Segoe UI" w:eastAsia="Times New Roman" w:hAnsi="Segoe UI" w:cs="Segoe UI"/>
      <w:b/>
      <w:bCs/>
      <w:sz w:val="20"/>
      <w:szCs w:val="20"/>
      <w:lang w:eastAsia="es-MX"/>
    </w:rPr>
  </w:style>
  <w:style w:type="paragraph" w:customStyle="1" w:styleId="fondoniif">
    <w:name w:val="fondoniif"/>
    <w:basedOn w:val="Normal"/>
    <w:rsid w:val="002732EB"/>
    <w:pPr>
      <w:shd w:val="clear" w:color="auto" w:fill="9C1F2E"/>
      <w:spacing w:after="285" w:line="240" w:lineRule="auto"/>
    </w:pPr>
    <w:rPr>
      <w:rFonts w:ascii="Times New Roman" w:eastAsia="Times New Roman" w:hAnsi="Times New Roman" w:cs="Times New Roman"/>
      <w:b/>
      <w:bCs/>
      <w:color w:val="FFFFFF"/>
      <w:sz w:val="24"/>
      <w:szCs w:val="24"/>
      <w:lang w:eastAsia="es-MX"/>
    </w:rPr>
  </w:style>
  <w:style w:type="paragraph" w:customStyle="1" w:styleId="textocetasmall">
    <w:name w:val="textocetasmall"/>
    <w:basedOn w:val="Normal"/>
    <w:rsid w:val="002732EB"/>
    <w:pPr>
      <w:spacing w:after="285" w:line="240" w:lineRule="auto"/>
    </w:pPr>
    <w:rPr>
      <w:rFonts w:ascii="Segoe UI" w:eastAsia="Times New Roman" w:hAnsi="Segoe UI" w:cs="Segoe UI"/>
      <w:sz w:val="14"/>
      <w:szCs w:val="14"/>
      <w:lang w:eastAsia="es-MX"/>
    </w:rPr>
  </w:style>
  <w:style w:type="paragraph" w:customStyle="1" w:styleId="t10">
    <w:name w:val="t10"/>
    <w:basedOn w:val="Normal"/>
    <w:rsid w:val="002732EB"/>
    <w:pPr>
      <w:spacing w:after="285" w:line="240" w:lineRule="auto"/>
    </w:pPr>
    <w:rPr>
      <w:rFonts w:ascii="Segoe UI" w:eastAsia="Times New Roman" w:hAnsi="Segoe UI" w:cs="Segoe UI"/>
      <w:sz w:val="15"/>
      <w:szCs w:val="15"/>
      <w:lang w:eastAsia="es-MX"/>
    </w:rPr>
  </w:style>
  <w:style w:type="paragraph" w:customStyle="1" w:styleId="t11">
    <w:name w:val="t11"/>
    <w:basedOn w:val="Normal"/>
    <w:rsid w:val="002732EB"/>
    <w:pPr>
      <w:spacing w:after="285" w:line="240" w:lineRule="auto"/>
    </w:pPr>
    <w:rPr>
      <w:rFonts w:ascii="Segoe UI" w:eastAsia="Times New Roman" w:hAnsi="Segoe UI" w:cs="Segoe UI"/>
      <w:sz w:val="17"/>
      <w:szCs w:val="17"/>
      <w:lang w:eastAsia="es-MX"/>
    </w:rPr>
  </w:style>
  <w:style w:type="paragraph" w:customStyle="1" w:styleId="t12">
    <w:name w:val="t12"/>
    <w:basedOn w:val="Normal"/>
    <w:rsid w:val="002732EB"/>
    <w:pPr>
      <w:spacing w:after="285" w:line="240" w:lineRule="auto"/>
    </w:pPr>
    <w:rPr>
      <w:rFonts w:ascii="Segoe UI" w:eastAsia="Times New Roman" w:hAnsi="Segoe UI" w:cs="Segoe UI"/>
      <w:sz w:val="18"/>
      <w:szCs w:val="18"/>
      <w:lang w:eastAsia="es-MX"/>
    </w:rPr>
  </w:style>
  <w:style w:type="paragraph" w:customStyle="1" w:styleId="newtitulos">
    <w:name w:val="newtitulos"/>
    <w:basedOn w:val="Normal"/>
    <w:rsid w:val="002732EB"/>
    <w:pPr>
      <w:spacing w:after="285" w:line="750" w:lineRule="atLeast"/>
    </w:pPr>
    <w:rPr>
      <w:rFonts w:ascii="Segoe UI" w:eastAsia="Times New Roman" w:hAnsi="Segoe UI" w:cs="Segoe UI"/>
      <w:color w:val="00478E"/>
      <w:sz w:val="83"/>
      <w:szCs w:val="83"/>
      <w:lang w:eastAsia="es-MX"/>
    </w:rPr>
  </w:style>
  <w:style w:type="paragraph" w:customStyle="1" w:styleId="imagenbordenegro">
    <w:name w:val="imagenbordenegro"/>
    <w:basedOn w:val="Normal"/>
    <w:rsid w:val="002732EB"/>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MX"/>
    </w:rPr>
  </w:style>
  <w:style w:type="paragraph" w:customStyle="1" w:styleId="t13">
    <w:name w:val="t13"/>
    <w:basedOn w:val="Normal"/>
    <w:rsid w:val="002732EB"/>
    <w:pPr>
      <w:spacing w:after="285" w:line="240" w:lineRule="auto"/>
    </w:pPr>
    <w:rPr>
      <w:rFonts w:ascii="Segoe UI" w:eastAsia="Times New Roman" w:hAnsi="Segoe UI" w:cs="Segoe UI"/>
      <w:sz w:val="20"/>
      <w:szCs w:val="20"/>
      <w:lang w:eastAsia="es-MX"/>
    </w:rPr>
  </w:style>
  <w:style w:type="paragraph" w:customStyle="1" w:styleId="t26">
    <w:name w:val="t26"/>
    <w:basedOn w:val="Normal"/>
    <w:rsid w:val="002732EB"/>
    <w:pPr>
      <w:spacing w:after="285" w:line="240" w:lineRule="auto"/>
    </w:pPr>
    <w:rPr>
      <w:rFonts w:ascii="Segoe UI" w:eastAsia="Times New Roman" w:hAnsi="Segoe UI" w:cs="Segoe UI"/>
      <w:sz w:val="39"/>
      <w:szCs w:val="39"/>
      <w:lang w:eastAsia="es-MX"/>
    </w:rPr>
  </w:style>
  <w:style w:type="paragraph" w:customStyle="1" w:styleId="menutitulo">
    <w:name w:val="menutitulo"/>
    <w:basedOn w:val="Normal"/>
    <w:rsid w:val="002732EB"/>
    <w:pPr>
      <w:spacing w:after="285" w:line="240" w:lineRule="auto"/>
    </w:pPr>
    <w:rPr>
      <w:rFonts w:ascii="Segoe UI" w:eastAsia="Times New Roman" w:hAnsi="Segoe UI" w:cs="Segoe UI"/>
      <w:b/>
      <w:bCs/>
      <w:color w:val="000000"/>
      <w:sz w:val="18"/>
      <w:szCs w:val="18"/>
      <w:lang w:eastAsia="es-MX"/>
    </w:rPr>
  </w:style>
  <w:style w:type="paragraph" w:customStyle="1" w:styleId="textoceta">
    <w:name w:val="textoceta"/>
    <w:basedOn w:val="Normal"/>
    <w:rsid w:val="002732EB"/>
    <w:pPr>
      <w:spacing w:after="285" w:line="240" w:lineRule="auto"/>
    </w:pPr>
    <w:rPr>
      <w:rFonts w:ascii="Segoe UI" w:eastAsia="Times New Roman" w:hAnsi="Segoe UI" w:cs="Segoe UI"/>
      <w:sz w:val="20"/>
      <w:szCs w:val="20"/>
      <w:lang w:eastAsia="es-MX"/>
    </w:rPr>
  </w:style>
  <w:style w:type="paragraph" w:customStyle="1" w:styleId="skypec2cmenuclick2sms">
    <w:name w:val="skype_c2c_menu_click2sms"/>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mediaplayer">
    <w:name w:val="mediaplayer"/>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skypec2cmenucontainer">
    <w:name w:val="skype_c2c_menu_container"/>
    <w:basedOn w:val="Normal"/>
    <w:rsid w:val="002732EB"/>
    <w:pPr>
      <w:pBdr>
        <w:top w:val="single" w:sz="12" w:space="0" w:color="00AFF0"/>
        <w:left w:val="single" w:sz="12" w:space="0" w:color="00AFF0"/>
        <w:bottom w:val="single" w:sz="12" w:space="0" w:color="00AFF0"/>
        <w:right w:val="single" w:sz="12" w:space="0" w:color="00AFF0"/>
      </w:pBdr>
      <w:shd w:val="clear" w:color="auto" w:fill="FFFFFF"/>
      <w:spacing w:after="285" w:line="336" w:lineRule="atLeast"/>
    </w:pPr>
    <w:rPr>
      <w:rFonts w:ascii="Helvetica" w:eastAsia="Times New Roman" w:hAnsi="Helvetica" w:cs="Helvetica"/>
      <w:sz w:val="20"/>
      <w:szCs w:val="20"/>
      <w:lang w:eastAsia="es-MX"/>
    </w:rPr>
  </w:style>
  <w:style w:type="paragraph" w:customStyle="1" w:styleId="skypec2cmenutollcallcredit">
    <w:name w:val="skype_c2c_menu_toll_callcredit"/>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skypec2cmenutollfree">
    <w:name w:val="skype_c2c_menu_toll_free"/>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skypec2cmenuclick2call">
    <w:name w:val="skype_c2c_menu_click2call"/>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cluetip-arrows1">
    <w:name w:val="cluetip-arrows1"/>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cluetip-arrows2">
    <w:name w:val="cluetip-arrows2"/>
    <w:basedOn w:val="Normal"/>
    <w:rsid w:val="002732EB"/>
    <w:pPr>
      <w:spacing w:after="285" w:line="240" w:lineRule="auto"/>
      <w:ind w:right="-165"/>
    </w:pPr>
    <w:rPr>
      <w:rFonts w:ascii="Times New Roman" w:eastAsia="Times New Roman" w:hAnsi="Times New Roman" w:cs="Times New Roman"/>
      <w:vanish/>
      <w:sz w:val="24"/>
      <w:szCs w:val="24"/>
      <w:lang w:eastAsia="es-MX"/>
    </w:rPr>
  </w:style>
  <w:style w:type="paragraph" w:customStyle="1" w:styleId="cluetip-arrows3">
    <w:name w:val="cluetip-arrows3"/>
    <w:basedOn w:val="Normal"/>
    <w:rsid w:val="002732EB"/>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4">
    <w:name w:val="cluetip-arrows4"/>
    <w:basedOn w:val="Normal"/>
    <w:rsid w:val="002732EB"/>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5">
    <w:name w:val="cluetip-arrows5"/>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cluetip-arrows6">
    <w:name w:val="cluetip-arrows6"/>
    <w:basedOn w:val="Normal"/>
    <w:rsid w:val="002732EB"/>
    <w:pPr>
      <w:spacing w:after="285" w:line="240" w:lineRule="auto"/>
      <w:ind w:right="-165"/>
    </w:pPr>
    <w:rPr>
      <w:rFonts w:ascii="Times New Roman" w:eastAsia="Times New Roman" w:hAnsi="Times New Roman" w:cs="Times New Roman"/>
      <w:vanish/>
      <w:sz w:val="24"/>
      <w:szCs w:val="24"/>
      <w:lang w:eastAsia="es-MX"/>
    </w:rPr>
  </w:style>
  <w:style w:type="paragraph" w:customStyle="1" w:styleId="cluetip-arrows7">
    <w:name w:val="cluetip-arrows7"/>
    <w:basedOn w:val="Normal"/>
    <w:rsid w:val="002732EB"/>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8">
    <w:name w:val="cluetip-arrows8"/>
    <w:basedOn w:val="Normal"/>
    <w:rsid w:val="002732EB"/>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9">
    <w:name w:val="cluetip-arrows9"/>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cluetip-arrows10">
    <w:name w:val="cluetip-arrows10"/>
    <w:basedOn w:val="Normal"/>
    <w:rsid w:val="002732EB"/>
    <w:pPr>
      <w:spacing w:after="285" w:line="240" w:lineRule="auto"/>
      <w:ind w:left="180"/>
    </w:pPr>
    <w:rPr>
      <w:rFonts w:ascii="Times New Roman" w:eastAsia="Times New Roman" w:hAnsi="Times New Roman" w:cs="Times New Roman"/>
      <w:vanish/>
      <w:sz w:val="24"/>
      <w:szCs w:val="24"/>
      <w:lang w:eastAsia="es-MX"/>
    </w:rPr>
  </w:style>
  <w:style w:type="paragraph" w:customStyle="1" w:styleId="cluetip-arrows11">
    <w:name w:val="cluetip-arrows11"/>
    <w:basedOn w:val="Normal"/>
    <w:rsid w:val="002732EB"/>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12">
    <w:name w:val="cluetip-arrows12"/>
    <w:basedOn w:val="Normal"/>
    <w:rsid w:val="002732EB"/>
    <w:pPr>
      <w:spacing w:after="285" w:line="240" w:lineRule="auto"/>
      <w:ind w:left="-165"/>
    </w:pPr>
    <w:rPr>
      <w:rFonts w:ascii="Times New Roman" w:eastAsia="Times New Roman" w:hAnsi="Times New Roman" w:cs="Times New Roman"/>
      <w:vanish/>
      <w:sz w:val="24"/>
      <w:szCs w:val="24"/>
      <w:lang w:eastAsia="es-MX"/>
    </w:rPr>
  </w:style>
  <w:style w:type="paragraph" w:customStyle="1" w:styleId="mediaplayer1">
    <w:name w:val="mediaplayer1"/>
    <w:basedOn w:val="Normal"/>
    <w:rsid w:val="002732EB"/>
    <w:pPr>
      <w:spacing w:after="285" w:line="240" w:lineRule="auto"/>
    </w:pPr>
    <w:rPr>
      <w:rFonts w:ascii="Times New Roman" w:eastAsia="Times New Roman" w:hAnsi="Times New Roman" w:cs="Times New Roman"/>
      <w:sz w:val="36"/>
      <w:szCs w:val="36"/>
      <w:lang w:eastAsia="es-MX"/>
    </w:rPr>
  </w:style>
  <w:style w:type="paragraph" w:customStyle="1" w:styleId="mediaplayer2">
    <w:name w:val="mediaplayer2"/>
    <w:basedOn w:val="Normal"/>
    <w:rsid w:val="002732EB"/>
    <w:pPr>
      <w:spacing w:after="285" w:line="240" w:lineRule="auto"/>
    </w:pPr>
    <w:rPr>
      <w:rFonts w:ascii="Times New Roman" w:eastAsia="Times New Roman" w:hAnsi="Times New Roman" w:cs="Times New Roman"/>
      <w:sz w:val="36"/>
      <w:szCs w:val="36"/>
      <w:lang w:eastAsia="es-MX"/>
    </w:rPr>
  </w:style>
  <w:style w:type="paragraph" w:customStyle="1" w:styleId="skypec2cmenuclick2sms1">
    <w:name w:val="skype_c2c_menu_click2sms1"/>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skypec2cmenutollfree1">
    <w:name w:val="skype_c2c_menu_toll_free1"/>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skypec2cmenutollcallcredit1">
    <w:name w:val="skype_c2c_menu_toll_callcredit1"/>
    <w:basedOn w:val="Normal"/>
    <w:rsid w:val="002732EB"/>
    <w:pPr>
      <w:spacing w:after="285" w:line="240" w:lineRule="auto"/>
    </w:pPr>
    <w:rPr>
      <w:rFonts w:ascii="Times New Roman" w:eastAsia="Times New Roman" w:hAnsi="Times New Roman" w:cs="Times New Roman"/>
      <w:vanish/>
      <w:sz w:val="24"/>
      <w:szCs w:val="24"/>
      <w:lang w:eastAsia="es-MX"/>
    </w:rPr>
  </w:style>
  <w:style w:type="paragraph" w:customStyle="1" w:styleId="pa4">
    <w:name w:val="pa4"/>
    <w:basedOn w:val="Normal"/>
    <w:rsid w:val="002732EB"/>
    <w:pPr>
      <w:spacing w:after="285" w:line="240" w:lineRule="auto"/>
    </w:pPr>
    <w:rPr>
      <w:rFonts w:ascii="Times New Roman" w:eastAsia="Times New Roman" w:hAnsi="Times New Roman" w:cs="Times New Roman"/>
      <w:sz w:val="24"/>
      <w:szCs w:val="24"/>
      <w:lang w:eastAsia="es-MX"/>
    </w:rPr>
  </w:style>
  <w:style w:type="character" w:customStyle="1" w:styleId="a7">
    <w:name w:val="a7"/>
    <w:basedOn w:val="Fuentedeprrafopredeter"/>
    <w:rsid w:val="002732EB"/>
  </w:style>
  <w:style w:type="paragraph" w:customStyle="1" w:styleId="default">
    <w:name w:val="default"/>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6">
    <w:name w:val="pa6"/>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7">
    <w:name w:val="pa7"/>
    <w:basedOn w:val="Normal"/>
    <w:rsid w:val="002732EB"/>
    <w:pPr>
      <w:spacing w:after="285" w:line="240" w:lineRule="auto"/>
    </w:pPr>
    <w:rPr>
      <w:rFonts w:ascii="Times New Roman" w:eastAsia="Times New Roman" w:hAnsi="Times New Roman" w:cs="Times New Roman"/>
      <w:sz w:val="24"/>
      <w:szCs w:val="24"/>
      <w:lang w:eastAsia="es-MX"/>
    </w:rPr>
  </w:style>
  <w:style w:type="character" w:customStyle="1" w:styleId="a8">
    <w:name w:val="a8"/>
    <w:basedOn w:val="Fuentedeprrafopredeter"/>
    <w:rsid w:val="002732EB"/>
  </w:style>
  <w:style w:type="character" w:styleId="Textoennegrita">
    <w:name w:val="Strong"/>
    <w:basedOn w:val="Fuentedeprrafopredeter"/>
    <w:uiPriority w:val="22"/>
    <w:qFormat/>
    <w:rsid w:val="002732EB"/>
    <w:rPr>
      <w:b/>
      <w:bCs/>
    </w:rPr>
  </w:style>
  <w:style w:type="paragraph" w:customStyle="1" w:styleId="pa10">
    <w:name w:val="pa10"/>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9">
    <w:name w:val="pa9"/>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20">
    <w:name w:val="pa20"/>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21">
    <w:name w:val="pa21"/>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22">
    <w:name w:val="pa22"/>
    <w:basedOn w:val="Normal"/>
    <w:rsid w:val="002732EB"/>
    <w:pPr>
      <w:spacing w:after="285" w:line="240" w:lineRule="auto"/>
    </w:pPr>
    <w:rPr>
      <w:rFonts w:ascii="Times New Roman" w:eastAsia="Times New Roman" w:hAnsi="Times New Roman" w:cs="Times New Roman"/>
      <w:sz w:val="24"/>
      <w:szCs w:val="24"/>
      <w:lang w:eastAsia="es-MX"/>
    </w:rPr>
  </w:style>
  <w:style w:type="paragraph" w:customStyle="1" w:styleId="pa23">
    <w:name w:val="pa23"/>
    <w:basedOn w:val="Normal"/>
    <w:rsid w:val="002732EB"/>
    <w:pPr>
      <w:spacing w:after="285"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2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29959" TargetMode="External"/><Relationship Id="rId5" Type="http://schemas.openxmlformats.org/officeDocument/2006/relationships/hyperlink" Target="http://www.ceta.org.co/html/vista_de_un_articulo.asp?Norma=568" TargetMode="External"/><Relationship Id="rId10" Type="http://schemas.openxmlformats.org/officeDocument/2006/relationships/theme" Target="theme/theme1.xml"/><Relationship Id="rId4" Type="http://schemas.openxmlformats.org/officeDocument/2006/relationships/hyperlink" Target="http://www.ceta.org.co/html/vista_de_un_articulo.asp?Norma=56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64732</Words>
  <Characters>356030</Characters>
  <Application>Microsoft Office Word</Application>
  <DocSecurity>0</DocSecurity>
  <Lines>2966</Lines>
  <Paragraphs>839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dc:creator>
  <cp:lastModifiedBy>william dussan</cp:lastModifiedBy>
  <cp:revision>2</cp:revision>
  <dcterms:created xsi:type="dcterms:W3CDTF">2015-07-21T16:59:00Z</dcterms:created>
  <dcterms:modified xsi:type="dcterms:W3CDTF">2015-07-21T16:59:00Z</dcterms:modified>
</cp:coreProperties>
</file>