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6D" w:rsidRPr="00DC246D" w:rsidRDefault="00DC246D" w:rsidP="00DC246D">
      <w:pPr>
        <w:jc w:val="center"/>
        <w:rPr>
          <w:rFonts w:ascii="Arial" w:hAnsi="Arial" w:cs="Arial"/>
          <w:sz w:val="28"/>
        </w:rPr>
      </w:pPr>
      <w:bookmarkStart w:id="0" w:name="_GoBack"/>
      <w:bookmarkEnd w:id="0"/>
      <w:r w:rsidRPr="00DC246D">
        <w:rPr>
          <w:rFonts w:ascii="Arial" w:hAnsi="Arial" w:cs="Arial"/>
          <w:sz w:val="28"/>
        </w:rPr>
        <w:t>OFICIO N° 006253  22-03-201 DIAN</w:t>
      </w:r>
    </w:p>
    <w:p w:rsidR="00DC246D" w:rsidRPr="00DC246D" w:rsidRDefault="00DC246D" w:rsidP="00DC246D">
      <w:pPr>
        <w:jc w:val="center"/>
        <w:rPr>
          <w:rFonts w:ascii="Arial" w:hAnsi="Arial" w:cs="Arial"/>
        </w:rPr>
      </w:pPr>
    </w:p>
    <w:p w:rsidR="00DC246D" w:rsidRPr="00DC246D" w:rsidRDefault="00DC246D" w:rsidP="00DC246D">
      <w:pPr>
        <w:jc w:val="center"/>
        <w:rPr>
          <w:rFonts w:ascii="Arial" w:hAnsi="Arial" w:cs="Arial"/>
        </w:rPr>
      </w:pPr>
      <w:r w:rsidRPr="00DC246D">
        <w:rPr>
          <w:rFonts w:ascii="Arial" w:hAnsi="Arial" w:cs="Arial"/>
        </w:rPr>
        <w:t>Subdirección de Gestión Normativa y Doctrina</w:t>
      </w:r>
    </w:p>
    <w:p w:rsidR="00DC246D" w:rsidRPr="00DC246D" w:rsidRDefault="00DC246D" w:rsidP="00DC246D">
      <w:pPr>
        <w:jc w:val="center"/>
        <w:rPr>
          <w:rFonts w:ascii="Arial" w:hAnsi="Arial" w:cs="Arial"/>
        </w:rPr>
      </w:pPr>
      <w:r w:rsidRPr="00DC246D">
        <w:rPr>
          <w:rFonts w:ascii="Arial" w:hAnsi="Arial" w:cs="Arial"/>
        </w:rPr>
        <w:t>Bogotá, D.C.</w:t>
      </w:r>
    </w:p>
    <w:p w:rsidR="00DC246D" w:rsidRPr="00DC246D" w:rsidRDefault="00DC246D" w:rsidP="00DC246D">
      <w:pPr>
        <w:jc w:val="center"/>
        <w:rPr>
          <w:rFonts w:ascii="Arial" w:hAnsi="Arial" w:cs="Arial"/>
        </w:rPr>
      </w:pPr>
      <w:r w:rsidRPr="00DC246D">
        <w:rPr>
          <w:rFonts w:ascii="Arial" w:hAnsi="Arial" w:cs="Arial"/>
        </w:rPr>
        <w:t>100208221- 000574</w:t>
      </w:r>
    </w:p>
    <w:p w:rsidR="00DC246D" w:rsidRPr="00DC246D" w:rsidRDefault="00DC246D" w:rsidP="00DC246D">
      <w:pPr>
        <w:jc w:val="center"/>
        <w:rPr>
          <w:rFonts w:ascii="Arial" w:hAnsi="Arial" w:cs="Arial"/>
        </w:rPr>
      </w:pPr>
    </w:p>
    <w:p w:rsidR="00DC246D" w:rsidRPr="00DC246D" w:rsidRDefault="00DC246D" w:rsidP="00DC246D">
      <w:pPr>
        <w:spacing w:after="0" w:line="240" w:lineRule="auto"/>
        <w:rPr>
          <w:rFonts w:ascii="Arial" w:hAnsi="Arial" w:cs="Arial"/>
        </w:rPr>
      </w:pPr>
      <w:r w:rsidRPr="00DC246D">
        <w:rPr>
          <w:rFonts w:ascii="Arial" w:hAnsi="Arial" w:cs="Arial"/>
        </w:rPr>
        <w:t>Señora</w:t>
      </w:r>
    </w:p>
    <w:p w:rsidR="00DC246D" w:rsidRPr="00DC246D" w:rsidRDefault="00DC246D" w:rsidP="00DC246D">
      <w:pPr>
        <w:spacing w:after="0" w:line="240" w:lineRule="auto"/>
        <w:rPr>
          <w:rFonts w:ascii="Arial" w:hAnsi="Arial" w:cs="Arial"/>
          <w:b/>
        </w:rPr>
      </w:pPr>
      <w:r w:rsidRPr="00DC246D">
        <w:rPr>
          <w:rFonts w:ascii="Arial" w:hAnsi="Arial" w:cs="Arial"/>
          <w:b/>
        </w:rPr>
        <w:t>GLORIA CECILIA DE LOS RÍOS GONZÁLEZ</w:t>
      </w:r>
    </w:p>
    <w:p w:rsidR="00DC246D" w:rsidRPr="00DC246D" w:rsidRDefault="00DC246D" w:rsidP="00DC246D">
      <w:pPr>
        <w:spacing w:after="0" w:line="240" w:lineRule="auto"/>
        <w:rPr>
          <w:rFonts w:ascii="Arial" w:hAnsi="Arial" w:cs="Arial"/>
        </w:rPr>
      </w:pPr>
      <w:r w:rsidRPr="00DC246D">
        <w:rPr>
          <w:rFonts w:ascii="Arial" w:hAnsi="Arial" w:cs="Arial"/>
        </w:rPr>
        <w:t>Calle 55 N° 36A-63</w:t>
      </w:r>
    </w:p>
    <w:p w:rsidR="00DC246D" w:rsidRPr="00DC246D" w:rsidRDefault="00DC246D" w:rsidP="00DC246D">
      <w:pPr>
        <w:spacing w:after="0" w:line="240" w:lineRule="auto"/>
        <w:rPr>
          <w:rFonts w:ascii="Arial" w:hAnsi="Arial" w:cs="Arial"/>
        </w:rPr>
      </w:pPr>
      <w:r w:rsidRPr="00DC246D">
        <w:rPr>
          <w:rFonts w:ascii="Arial" w:hAnsi="Arial" w:cs="Arial"/>
        </w:rPr>
        <w:t>Bogotá D.C.</w:t>
      </w:r>
    </w:p>
    <w:p w:rsidR="00DC246D" w:rsidRPr="00DC246D" w:rsidRDefault="00DC246D" w:rsidP="00DC246D">
      <w:pPr>
        <w:rPr>
          <w:rFonts w:ascii="Arial" w:hAnsi="Arial" w:cs="Arial"/>
        </w:rPr>
      </w:pPr>
      <w:r w:rsidRPr="00DC246D">
        <w:rPr>
          <w:rFonts w:ascii="Arial" w:hAnsi="Arial" w:cs="Arial"/>
        </w:rPr>
        <w:t xml:space="preserve"> </w:t>
      </w:r>
    </w:p>
    <w:p w:rsidR="00DC246D" w:rsidRPr="00DC246D" w:rsidRDefault="00DC246D" w:rsidP="00DC246D">
      <w:pPr>
        <w:rPr>
          <w:rFonts w:ascii="Arial" w:hAnsi="Arial" w:cs="Arial"/>
        </w:rPr>
      </w:pPr>
      <w:r w:rsidRPr="00DC246D">
        <w:rPr>
          <w:rFonts w:ascii="Arial" w:hAnsi="Arial" w:cs="Arial"/>
        </w:rPr>
        <w:t>Ref.: Radicado 100002870 del 01/02/2017</w:t>
      </w:r>
    </w:p>
    <w:p w:rsidR="00DC246D" w:rsidRPr="00DC246D" w:rsidRDefault="00DC246D" w:rsidP="00DC246D">
      <w:pPr>
        <w:rPr>
          <w:rFonts w:ascii="Arial" w:hAnsi="Arial" w:cs="Arial"/>
        </w:rPr>
      </w:pPr>
      <w:r w:rsidRPr="00DC246D">
        <w:rPr>
          <w:rFonts w:ascii="Arial" w:hAnsi="Arial" w:cs="Arial"/>
        </w:rPr>
        <w:t xml:space="preserve"> </w:t>
      </w:r>
    </w:p>
    <w:p w:rsidR="00DC246D" w:rsidRPr="00DC246D" w:rsidRDefault="00DC246D" w:rsidP="00DC246D">
      <w:pPr>
        <w:rPr>
          <w:rFonts w:ascii="Arial" w:hAnsi="Arial" w:cs="Arial"/>
        </w:rPr>
      </w:pPr>
      <w:r w:rsidRPr="00DC246D">
        <w:rPr>
          <w:rFonts w:ascii="Arial" w:hAnsi="Arial" w:cs="Arial"/>
        </w:rPr>
        <w:t>Tema Procedimiento Tributario</w:t>
      </w:r>
    </w:p>
    <w:p w:rsidR="00DC246D" w:rsidRPr="00DC246D" w:rsidRDefault="00DC246D" w:rsidP="00DC246D">
      <w:pPr>
        <w:jc w:val="both"/>
        <w:rPr>
          <w:rFonts w:ascii="Arial" w:hAnsi="Arial" w:cs="Arial"/>
        </w:rPr>
      </w:pPr>
      <w:r w:rsidRPr="00DC246D">
        <w:rPr>
          <w:rFonts w:ascii="Arial" w:hAnsi="Arial" w:cs="Arial"/>
        </w:rPr>
        <w:t>Descriptores SOPORTE DE COSTOS Y GASTOS</w:t>
      </w:r>
    </w:p>
    <w:p w:rsidR="00DC246D" w:rsidRPr="00DC246D" w:rsidRDefault="00DC246D" w:rsidP="00DC246D">
      <w:pPr>
        <w:jc w:val="both"/>
        <w:rPr>
          <w:rFonts w:ascii="Arial" w:hAnsi="Arial" w:cs="Arial"/>
        </w:rPr>
      </w:pPr>
      <w:r w:rsidRPr="00DC246D">
        <w:rPr>
          <w:rFonts w:ascii="Arial" w:hAnsi="Arial" w:cs="Arial"/>
        </w:rPr>
        <w:t>Fuentes formales Artículo 771-2 del Estatuto Tributario; Artículo 135 de la Ley 1819 de 2016</w:t>
      </w:r>
    </w:p>
    <w:p w:rsidR="00DC246D" w:rsidRPr="00DC246D" w:rsidRDefault="00DC246D" w:rsidP="00DC246D">
      <w:pPr>
        <w:jc w:val="both"/>
        <w:rPr>
          <w:rFonts w:ascii="Arial" w:hAnsi="Arial" w:cs="Arial"/>
        </w:rPr>
      </w:pPr>
      <w:r w:rsidRPr="00DC246D">
        <w:rPr>
          <w:rFonts w:ascii="Arial" w:hAnsi="Arial" w:cs="Arial"/>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DC246D" w:rsidRPr="00DC246D" w:rsidRDefault="00DC246D" w:rsidP="00DC246D">
      <w:pPr>
        <w:jc w:val="both"/>
        <w:rPr>
          <w:rFonts w:ascii="Arial" w:hAnsi="Arial" w:cs="Arial"/>
        </w:rPr>
      </w:pPr>
      <w:r w:rsidRPr="00DC246D">
        <w:rPr>
          <w:rFonts w:ascii="Arial" w:hAnsi="Arial" w:cs="Arial"/>
        </w:rPr>
        <w:t>Mediante el radicado de la referencia la peticionaria indica que el parágrafo adicionado por el artículo 135 de la Ley 1819 de 2016 al artículo 771-2 del Estatuto Tributario no incluyó la expresión “en el año anterior”, lo que puede generar dificultades en la aplicación de la norma.</w:t>
      </w:r>
    </w:p>
    <w:p w:rsidR="00DC246D" w:rsidRPr="00DC246D" w:rsidRDefault="00DC246D" w:rsidP="00DC246D">
      <w:pPr>
        <w:jc w:val="both"/>
        <w:rPr>
          <w:rFonts w:ascii="Arial" w:hAnsi="Arial" w:cs="Arial"/>
        </w:rPr>
      </w:pPr>
      <w:r w:rsidRPr="00DC246D">
        <w:rPr>
          <w:rFonts w:ascii="Arial" w:hAnsi="Arial" w:cs="Arial"/>
        </w:rPr>
        <w:t>Sobre el particular se considera:</w:t>
      </w:r>
    </w:p>
    <w:p w:rsidR="00DC246D" w:rsidRPr="00DC246D" w:rsidRDefault="00DC246D" w:rsidP="00DC246D">
      <w:pPr>
        <w:jc w:val="both"/>
        <w:rPr>
          <w:rFonts w:ascii="Arial" w:hAnsi="Arial" w:cs="Arial"/>
        </w:rPr>
      </w:pPr>
      <w:r w:rsidRPr="00DC246D">
        <w:rPr>
          <w:rFonts w:ascii="Arial" w:hAnsi="Arial" w:cs="Arial"/>
        </w:rPr>
        <w:t>La Ley 1819 de 2016 trajo una serie de modificaciones jurídicas, dentro de las cuales se encuentra la adición del siguiente parágrafo al artículo 771-2 del Estatuto Tributario:</w:t>
      </w:r>
    </w:p>
    <w:p w:rsidR="00DC246D" w:rsidRPr="00DC246D" w:rsidRDefault="00DC246D" w:rsidP="00DC246D">
      <w:pPr>
        <w:jc w:val="both"/>
        <w:rPr>
          <w:rFonts w:ascii="Arial" w:hAnsi="Arial" w:cs="Arial"/>
        </w:rPr>
      </w:pPr>
      <w:r w:rsidRPr="00DC246D">
        <w:rPr>
          <w:rFonts w:ascii="Arial" w:hAnsi="Arial" w:cs="Arial"/>
        </w:rPr>
        <w:t>Artículo 135. Adiciónese un parágrafo al artículo 771-2 del Estatuto Tributario el cual quedará así:</w:t>
      </w:r>
    </w:p>
    <w:p w:rsidR="00DC246D" w:rsidRPr="00DC246D" w:rsidRDefault="00DC246D" w:rsidP="00DC246D">
      <w:pPr>
        <w:jc w:val="both"/>
        <w:rPr>
          <w:rFonts w:ascii="Arial" w:hAnsi="Arial" w:cs="Arial"/>
        </w:rPr>
      </w:pPr>
      <w:r w:rsidRPr="00DC246D">
        <w:rPr>
          <w:rFonts w:ascii="Arial" w:hAnsi="Arial" w:cs="Arial"/>
        </w:rPr>
        <w:t xml:space="preserve"> </w:t>
      </w:r>
    </w:p>
    <w:p w:rsidR="00DC246D" w:rsidRPr="00DC246D" w:rsidRDefault="00DC246D" w:rsidP="00DC246D">
      <w:pPr>
        <w:jc w:val="both"/>
        <w:rPr>
          <w:rFonts w:ascii="Arial" w:hAnsi="Arial" w:cs="Arial"/>
        </w:rPr>
      </w:pPr>
      <w:r w:rsidRPr="00DC246D">
        <w:rPr>
          <w:rFonts w:ascii="Arial" w:hAnsi="Arial" w:cs="Arial"/>
        </w:rPr>
        <w:t>Parágrafo 2°. Sin perjuicio de lo establecido en este artículo, los costos y deducciones efectivamente realizados durante el año o período gravable serán aceptados fiscalmente, así la factura de venta o documento equivalente tenga fecha del año o período siguiente, siempre y cuando se acredite la prestación del servicio o venta del bien en el año o período gravable.</w:t>
      </w:r>
    </w:p>
    <w:p w:rsidR="00DC246D" w:rsidRPr="00DC246D" w:rsidRDefault="00DC246D" w:rsidP="00DC246D">
      <w:pPr>
        <w:jc w:val="both"/>
        <w:rPr>
          <w:rFonts w:ascii="Arial" w:hAnsi="Arial" w:cs="Arial"/>
        </w:rPr>
      </w:pPr>
      <w:r w:rsidRPr="00DC246D">
        <w:rPr>
          <w:rFonts w:ascii="Arial" w:hAnsi="Arial" w:cs="Arial"/>
        </w:rPr>
        <w:t>(Subrayado fuera del texto)</w:t>
      </w:r>
    </w:p>
    <w:p w:rsidR="00DC246D" w:rsidRPr="00DC246D" w:rsidRDefault="00DC246D" w:rsidP="00DC246D">
      <w:pPr>
        <w:jc w:val="both"/>
        <w:rPr>
          <w:rFonts w:ascii="Arial" w:hAnsi="Arial" w:cs="Arial"/>
        </w:rPr>
      </w:pPr>
      <w:r w:rsidRPr="00DC246D">
        <w:rPr>
          <w:rFonts w:ascii="Arial" w:hAnsi="Arial" w:cs="Arial"/>
        </w:rPr>
        <w:lastRenderedPageBreak/>
        <w:t>Nótese como a través de este parágrafo se precisa la posibilidad que el soporte de la operación que da lugar a los costos y deducciones efectivamente realizados durante el año o período gravable se acepte fiscalmente, aun en el caso que la factura de venta o documento equivalente tenga fecha del año o período siguiente.</w:t>
      </w:r>
    </w:p>
    <w:p w:rsidR="00DC246D" w:rsidRPr="00DC246D" w:rsidRDefault="00DC246D" w:rsidP="00DC246D">
      <w:pPr>
        <w:jc w:val="both"/>
        <w:rPr>
          <w:rFonts w:ascii="Arial" w:hAnsi="Arial" w:cs="Arial"/>
        </w:rPr>
      </w:pPr>
      <w:r w:rsidRPr="00DC246D">
        <w:rPr>
          <w:rFonts w:ascii="Arial" w:hAnsi="Arial" w:cs="Arial"/>
        </w:rPr>
        <w:t>Con este fin la norma indica que se debe acreditar la prestación del servicio o venta del bien en el correspondiente año o período gravable en que estos se efectuaron.</w:t>
      </w:r>
    </w:p>
    <w:p w:rsidR="00DC246D" w:rsidRPr="00DC246D" w:rsidRDefault="00DC246D" w:rsidP="00DC246D">
      <w:pPr>
        <w:jc w:val="both"/>
        <w:rPr>
          <w:rFonts w:ascii="Arial" w:hAnsi="Arial" w:cs="Arial"/>
        </w:rPr>
      </w:pPr>
      <w:r w:rsidRPr="00DC246D">
        <w:rPr>
          <w:rFonts w:ascii="Arial" w:hAnsi="Arial" w:cs="Arial"/>
        </w:rPr>
        <w:t>Con esta precisión se respeta el año gravable en que estas erogaciones tuvieron lugar, en concordancia con el principio de realización que las sustenta, pues es importante recordar que no queda el arbitrio del contribuyente el año de su detracción y lo que plantea la norma es la posibilidad que la factura o documento equivalente tenga una fecha del año siguiente si se cumple el presupuesto anteriormente mencionado, sin que haya lugar a que la norma mencionara “el año anterior” como lo sugiere la peticionaria en los antecedentes de la consulta.</w:t>
      </w:r>
    </w:p>
    <w:p w:rsidR="00DC246D" w:rsidRPr="00DC246D" w:rsidRDefault="00DC246D" w:rsidP="00DC246D">
      <w:pPr>
        <w:jc w:val="both"/>
        <w:rPr>
          <w:rFonts w:ascii="Arial" w:hAnsi="Arial" w:cs="Arial"/>
        </w:rPr>
      </w:pPr>
      <w:r w:rsidRPr="00DC246D">
        <w:rPr>
          <w:rFonts w:ascii="Arial" w:hAnsi="Arial" w:cs="Arial"/>
        </w:rPr>
        <w:t>En los anteriores términos se resuelve su consulta.</w:t>
      </w:r>
    </w:p>
    <w:p w:rsidR="00DC246D" w:rsidRPr="00DC246D" w:rsidRDefault="00DC246D" w:rsidP="00DC246D">
      <w:pPr>
        <w:jc w:val="both"/>
        <w:rPr>
          <w:rFonts w:ascii="Arial" w:hAnsi="Arial" w:cs="Arial"/>
        </w:rPr>
      </w:pPr>
      <w:r w:rsidRPr="00DC246D">
        <w:rPr>
          <w:rFonts w:ascii="Arial" w:hAnsi="Arial" w:cs="Arial"/>
        </w:rPr>
        <w:t>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http://www.dian.gov.co siguiendo los iconos: “Normatividad” - “Técnica” y seleccionando los vínculos “doctrina” y “Dirección de Gestión Jurídica”.</w:t>
      </w:r>
    </w:p>
    <w:p w:rsidR="00DC246D" w:rsidRPr="00DC246D" w:rsidRDefault="00DC246D" w:rsidP="00DC246D">
      <w:pPr>
        <w:jc w:val="both"/>
        <w:rPr>
          <w:rFonts w:ascii="Arial" w:hAnsi="Arial" w:cs="Arial"/>
        </w:rPr>
      </w:pPr>
      <w:r w:rsidRPr="00DC246D">
        <w:rPr>
          <w:rFonts w:ascii="Arial" w:hAnsi="Arial" w:cs="Arial"/>
        </w:rPr>
        <w:t xml:space="preserve"> </w:t>
      </w:r>
    </w:p>
    <w:p w:rsidR="00DC246D" w:rsidRPr="00DC246D" w:rsidRDefault="00DC246D" w:rsidP="00DC246D">
      <w:pPr>
        <w:jc w:val="both"/>
        <w:rPr>
          <w:rFonts w:ascii="Arial" w:hAnsi="Arial" w:cs="Arial"/>
        </w:rPr>
      </w:pPr>
      <w:r w:rsidRPr="00DC246D">
        <w:rPr>
          <w:rFonts w:ascii="Arial" w:hAnsi="Arial" w:cs="Arial"/>
        </w:rPr>
        <w:t>Atentamente,</w:t>
      </w:r>
    </w:p>
    <w:p w:rsidR="00DC246D" w:rsidRPr="00DC246D" w:rsidRDefault="00DC246D" w:rsidP="00DC246D">
      <w:pPr>
        <w:jc w:val="both"/>
        <w:rPr>
          <w:rFonts w:ascii="Arial" w:hAnsi="Arial" w:cs="Arial"/>
        </w:rPr>
      </w:pPr>
      <w:r w:rsidRPr="00DC246D">
        <w:rPr>
          <w:rFonts w:ascii="Arial" w:hAnsi="Arial" w:cs="Arial"/>
        </w:rPr>
        <w:t xml:space="preserve"> </w:t>
      </w:r>
    </w:p>
    <w:p w:rsidR="00DC246D" w:rsidRPr="00DC246D" w:rsidRDefault="00DC246D" w:rsidP="00DC246D">
      <w:pPr>
        <w:rPr>
          <w:rFonts w:ascii="Arial" w:hAnsi="Arial" w:cs="Arial"/>
        </w:rPr>
      </w:pPr>
      <w:r w:rsidRPr="00DC246D">
        <w:rPr>
          <w:rFonts w:ascii="Arial" w:hAnsi="Arial" w:cs="Arial"/>
        </w:rPr>
        <w:t xml:space="preserve"> </w:t>
      </w:r>
    </w:p>
    <w:p w:rsidR="00DC246D" w:rsidRPr="00DC246D" w:rsidRDefault="00DC246D" w:rsidP="00DC246D">
      <w:pPr>
        <w:rPr>
          <w:rFonts w:ascii="Arial" w:hAnsi="Arial" w:cs="Arial"/>
        </w:rPr>
      </w:pPr>
      <w:r w:rsidRPr="00DC246D">
        <w:rPr>
          <w:rFonts w:ascii="Arial" w:hAnsi="Arial" w:cs="Arial"/>
        </w:rPr>
        <w:t>PEDRO PABLO CONTRERAS CAMARGO</w:t>
      </w:r>
    </w:p>
    <w:p w:rsidR="00C81589" w:rsidRDefault="00DC246D" w:rsidP="00DC246D">
      <w:r w:rsidRPr="00DC246D">
        <w:rPr>
          <w:rFonts w:ascii="Arial" w:hAnsi="Arial" w:cs="Arial"/>
        </w:rPr>
        <w:t>Subdirector de Gestión Normativa y Doctri</w:t>
      </w:r>
      <w:r>
        <w:t>na</w:t>
      </w:r>
    </w:p>
    <w:sectPr w:rsidR="00C815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6D"/>
    <w:rsid w:val="00C81589"/>
    <w:rsid w:val="00DC246D"/>
    <w:rsid w:val="00E148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76529-5049-42C6-AC5E-F7D58053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47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31">
          <w:marLeft w:val="180"/>
          <w:marRight w:val="0"/>
          <w:marTop w:val="0"/>
          <w:marBottom w:val="0"/>
          <w:divBdr>
            <w:top w:val="none" w:sz="0" w:space="0" w:color="auto"/>
            <w:left w:val="none" w:sz="0" w:space="0" w:color="auto"/>
            <w:bottom w:val="none" w:sz="0" w:space="0" w:color="auto"/>
            <w:right w:val="none" w:sz="0" w:space="0" w:color="auto"/>
          </w:divBdr>
        </w:div>
        <w:div w:id="2443802">
          <w:marLeft w:val="180"/>
          <w:marRight w:val="0"/>
          <w:marTop w:val="0"/>
          <w:marBottom w:val="0"/>
          <w:divBdr>
            <w:top w:val="none" w:sz="0" w:space="0" w:color="auto"/>
            <w:left w:val="none" w:sz="0" w:space="0" w:color="auto"/>
            <w:bottom w:val="none" w:sz="0" w:space="0" w:color="auto"/>
            <w:right w:val="none" w:sz="0" w:space="0" w:color="auto"/>
          </w:divBdr>
        </w:div>
        <w:div w:id="1664434915">
          <w:marLeft w:val="180"/>
          <w:marRight w:val="0"/>
          <w:marTop w:val="0"/>
          <w:marBottom w:val="0"/>
          <w:divBdr>
            <w:top w:val="none" w:sz="0" w:space="0" w:color="auto"/>
            <w:left w:val="none" w:sz="0" w:space="0" w:color="auto"/>
            <w:bottom w:val="none" w:sz="0" w:space="0" w:color="auto"/>
            <w:right w:val="none" w:sz="0" w:space="0" w:color="auto"/>
          </w:divBdr>
        </w:div>
        <w:div w:id="140001489">
          <w:marLeft w:val="180"/>
          <w:marRight w:val="0"/>
          <w:marTop w:val="0"/>
          <w:marBottom w:val="0"/>
          <w:divBdr>
            <w:top w:val="none" w:sz="0" w:space="0" w:color="auto"/>
            <w:left w:val="none" w:sz="0" w:space="0" w:color="auto"/>
            <w:bottom w:val="none" w:sz="0" w:space="0" w:color="auto"/>
            <w:right w:val="none" w:sz="0" w:space="0" w:color="auto"/>
          </w:divBdr>
        </w:div>
        <w:div w:id="81410601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cp:revision>
  <dcterms:created xsi:type="dcterms:W3CDTF">2017-06-02T12:35:00Z</dcterms:created>
  <dcterms:modified xsi:type="dcterms:W3CDTF">2017-06-02T12:35:00Z</dcterms:modified>
</cp:coreProperties>
</file>